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中证上海国企交易型开放式指数证券投资基金联接基金C类份额更新基金产品资料概要(2024年06月07日更新)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汇添富中证上海国企ETF联接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003194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汇添富中证上海国企ETF联接C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018061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2016年09月18日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孙浩</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自2023年3月8日起，中证上海国企交易型开放式指数证券投资基金联接基金增设C类基金份额。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通过投资于目标ETF，紧密跟踪标的指数，追求跟踪偏离度和跟踪误差的最小化。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本基金的标的指数为中证上海国企指数及其未来可能发生的变更。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标的指数成份股和备选成份股。为更好地实现投资目标，本基金还可投资于非成份股（包括中小板、创业板及其他经中国证监会核准上市的股票）、存托凭证、债券（国债、金融债、企业债、公司债、次级债、可交换债券、可转换债券、分离交易可转债、中小企业私募债券、央行票据、中期票据、短期融资券（含超短期融资券）等）、资产支持证券、债券回购、银行存款、同业存单、货币市场工具、衍生工具（包括股指期货、权证、国债期货、股票期权等）及法律法规或中国证监会允许基金投资的其他金融工具（但须符合中国证监会的相关规定）。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目标ETF的比例不低于基金资产净值的90%，每个交易日日终在扣除股指期货、国债期货和股票期权合约需缴纳的交易保证金后，现金或到期日在一年以内的政府债券的投资比例不低于基金资产净值的5%。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本基金主要投资于目标ETF，方便特定的客户群通过本基金投资目标ETF。本基金不参与目标ETF的投资管理。本基金的投资策略主要包括：资产配置策略；目标 ETF 的投资策略；成份股、备选成份股投资策略；存托凭证投资策略；固定收益资产投资策略；金融衍生工具投资策略。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中证上海国企指数收益率*95%+银行人民币活期存款利率(税后)*5%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中证上海国企ETF的联接基金，通过投资于目标ETF，紧密跟踪标的指数，具有与标的指数、以及标的指数所代表的证券市场相似的风险收益特征。同时，本基金为被动式投资的股票型指数基金，预期风险与预期收益高于混合型基金、债券型基金与货币市场基金，为证券投资基金中较高风险、较高预期收益的品种。</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本基金基金财产中投资于目标ETF的部分不收取管理费。2、本基金基金财产中投资于目标ETF的部分不收取托管费。3、《基金合同》生效后与基金相关的律师费和诉讼费；基金份额持有人大会费用；基金的证券、期货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1.10%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基金财产中投资于目标ETF的部分不收取管理费和托管费，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投资于本基金的风险包括：市场风险、流动性风险、管理风险、信用风险、操作或技术风险、合规性风险、本基金的特有风险、其他风险。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特有风险包括：（1）投资于目标ETF基金带来的风险。（2）跟踪偏离风险：本基金主要投资于目标ETF基金份额，追求跟踪标的指数，获得与指数收益相似的回报。（3）与目标ETF业绩差异的风险。（4）其他投资于目标ETF的风险。（5）标的指数的风险。（6）标的指数波动的风险。（7）标的指数回报与股票市场平均回报偏离的风险。（8）基金投资组合回报与标的指数回报偏离的风险。（9）标的指数变更的风险以及指数编制机构停止服务的风险。（10）成份股停牌的风险。（11）基金投资中小企业私募债券的风险。（12）基金投资资产支持证券的风险。（13）股指期货、国债期货、股票期权等金融衍生品投资风险。（14）基金参与融资与转融通证券业务出借的风险。（15）存托凭证投资风险。（16）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