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中证银行交易型开放式指数证券投资基金更新基金产品资料概要(2024年06月07日更新)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中证银行ETF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512820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2018年10月23日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2018年11月23日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晏阳</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2023年05月22日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扩位证券简称：银行业ETF。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紧密跟踪标的指数，追求跟踪偏离度和跟踪误差的最小化，本基金力争日均跟踪偏离度的绝对值不超过0.2%，年跟踪误差不超过2%。</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本基金可少量投资于非成份股(包括中小板、创业板及其他中国证监会核准上市的股票)、存托凭证、债券(包括国债、金融债、企业债、公司债、公开发行的次级债、可交换债券、可转换债券、分离交易可转债、中小企业私募债券、央行票据、中期票据、短期融资券(含超短期融资券)等)、资产支持证券、债券回购、银行存款、同业存单、货币市场工具、衍生工具(包括股指期货、权证、国债期货、股票期权等)及法律法规或中国证监会允许基金投资的其他金融工具(但须符合中国证监会的相关规定)。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本基金投资于标的指数成份股和备选成份股的比例不低于基金资产净值的90%，且不低于非现金基金资产的 80%，因法律法规的规定而受限制的情形除外。如法律法规或监管机构变更投资品种的投资比例限制，基金管理人在履行适当程序后，可以调整上述投资品种的投资比例。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力争日均跟踪偏离度的绝对值不超过 0.2%，年跟踪误差不超过 2%。如因标的指数编制规则调整等其他原因，导致基金跟踪偏离度和跟踪误差超过上述范围，基金管理人应采取合理措施，避免跟踪偏离度和跟踪误差的进一步扩大。本基金的投资策略主要包括：资产配置策略、债券投资策略、资产支持证券投资策略、金融衍生工具投资策略、融资及转融通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中证银行指数收益率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46353404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31561"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场外申购费率0.05%。投资者在场内申购基金份额时，申购代理券商可按照不超过申购份额0.2%的标准收取佣金，其中包含证券交易所、注册登记机构等收取的相关费用。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场外赎回费率0.15%。投资者在场内赎回基金份额时，赎回代理券商可按照不超过赎回份额0.2%的标准收取佣金，其中包含证券交易所、注册登记机构等收取的相关费用。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本基金指数许可使用费按前一日的基金资产净值的0.03%的年费率计提。本基金指数许可使用费的收取下限为每季度3.5万元，合计年下限为14万元，若计费期间不足一季度的，则根据实际天数按比例计算。当季日均基金资产净值小于或等于人民币5000万元时，则不设指数许可使用费的收取下限。</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上市费及年费，基金的开户费用、账户维护费用，基金的银行汇划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指数许可使用费（若有）若适用固定费率的，使用现行费率直接计算；若已适用下限金额的，计算方法参照其他运作费用。</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本基金的特有风险、管理风险、信用风险、操作或技术风险、合规性风险、本基金法律文件风险收益特征表述与销售机构基金风险评价可能不一致的风险、税负增加风险、其他风险。本基金的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（1）标的指数回报与股票市场平均回报偏离的风险：标的指数并不能完全代表整个股票市场。标的指数成份股的平均回报率与整个股票市场的平均回报率可能存在偏离。</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标的指数波动的风险：标的指数成份股的价格可能受到政治因素、经济因素、上市公司经营状况、投资者心理和交易制度等各种因素的影响而波动，导致指数波动，从而使基金收益水平发生变化，产生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（3）基金投资组合回报与标的指数回报偏离的风险及跟踪误差未达约定目标的风险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（6）基金份额二级市场交易价格折溢价的风险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（7）参考IOPV决策和IOPV计算错误的风险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（8）退市风险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（9）投资者申购失败的风险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（10）投资者赎回失败的风险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（11）场内份额赎回对价的变现风险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（12）第三方机构服务的风险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（13）基金投资中小企业私募债券的风险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（14）基金投资资产支持证券的风险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（15）股指期货、国债期货、股票期权等金融衍生品投资风险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（16）基金参与融资与转融通业务的风险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17）对于场外份额的申购与赎回，基金管理人公布的申购费率、赎回费率与基金资产因投资人申购、赎回而实际产生的成本可能存在差异，两者之间的差异由基金资产承担。因此，如果基金管理人对申购费率、赎回费率的估计结果实际产生的成本差异较大，本基金也可能产生跟踪偏离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（18）本基金场内外份额申购赎回对价方式、业务规则等不同的风险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（19）场外申购费率、赎回费率调整的风险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（20）本基金场外份额暂不可上市交易的风险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（21）存托凭证投资风险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