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中证金融地产交易型开放式指数证券投资基金更新基金产品资料概要(2024年06月07日更新)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汇添富中证金融地产ETF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159931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2013年08月23日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2013年09月16日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晏阳</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2023年04月13日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场内简称：金融ETF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中小板、创业板及其他经中国证监会核准上市的股票）、存托凭证、债券、货币市场工具、权证、股指期货、资产支持证券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主要投资于标的指数成份股、备选成份股。在建仓完成后，本基金投资于标的指数成份股、备选成份股的资产比例不低于基金资产的90%，权证、股指期货及其他金融工具的投资比例依照法律法规或监管机构的规定执行。</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主要采取完全复制法，即完全按照标的指数的成份股组成及其权重构建基金股票投资组合，并根据标的指数成份股及其权重的变动进行相应调整。但在因特殊情况（如流动性不足）导致无法获得足够数量的股票时，基金管理人将运用其他合理的投资方法构建本基金的实际投资组合，追求尽可能贴近目标指数的表现。本基金投资存托凭证在综合考虑预期收益、风险、流动性等因素的基础上，根据审慎原则合理参与存托凭证的投资，以更好地跟踪标的指数，追求跟踪偏离度和跟踪误差的最小化。在正常市场情况下，本基金日均跟踪偏离度的绝对值不超过 0.1%，年化跟踪误差不超过 2%。如因标的指数编制规则调整或其他因素导致跟踪偏离度和跟踪误差超过正常范围的，基金管理人应采取合理措施避免跟踪误差进一步扩大。 </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中证金融地产指数</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股票型基金,预期风险与预期收益高于混合型基金、债券型基金与货币市场基金。本基金为指数型基金,主要采用完全复制法跟踪标的指数的表现,具有与标的指数、以及标的指数所代表的股票市场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6664475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44394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场外申购费率0.05%。投资者在场内申购基金份额时，申购代理券商可按照不超过申购份额0.5%的标准收取佣金，其中包含证券交易所、注册登记机构等收取的相关费用。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场外赎回费率0.15%。投资者在场内赎回基金份额时，赎回代理券商可按照不超过赎回份额0.5%的标准收取佣金，其中包含证券交易所、注册登记机构等收取的相关费用。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40500.00元/年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0.03%的年费率计提。本基金指数许可使用费的收取下限为每季度3.5万元，合计年下限为14万元，若计费期间不足一季度的，则根据实际天数按比例计算。当季日均基金资产净值小于或等于人民币5000万元时，则不设指数许可使用费的收取下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交易费用，基金的银行汇划费用，基金上市费及年费，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1.02%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投资于本基金的风险包括：市场风险、管理风险、流动性风险、特定风险、操作或技术风险、合规性风险、其他风险。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1、指数化投资的风险：ETF 作为股票指数基金，在投资管理中会至少维持90%的股票投资比例，具有对股票市场的系统性风险，不能规避市场下跌的风险和个股风险。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跟踪误差的风险：由于标的指数成份股配股、增发、分红等公司行为；标的指数成份股调整；基金现金资产的拖累；基金的管理费和托管费带来的跟踪误差；指数成份股停牌、摘牌，成份股涨、跌停板等因素带来的偏差；由于缺少衍生金融工具，基金建仓期间无法实现对指数的有效跟踪所带来的偏差等。</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4、成份股停牌的风险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5、二级市场折溢价风险：ETF二级市场的价格受供需关系的影响，可能高于或低于基金的份额净值，形成溢价交易或折价交易。</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6、二级市场流动性风险：ETF可在二级市场进行买卖，因此也可能面临因市场交易量不足而造成的流动性问题，带来基金在二级市场的流动性风险。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7、套利风险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8、参考IOPV决策和IOPV计算错误的风险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9、退市风险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10、投资者申购失败的风险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11、投资者赎回失败的风险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12、基金份额赎回对价的变现风险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13、申赎清单标识设置风险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14、第三方机构服务的风险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15、存托凭证投资风险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