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中证主要消费交易型开放式指数证券投资基金更新基金产品资料概要(2024年06月07日更新)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汇添富中证主要消费ETF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159928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2013年08月23日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深圳证券交易所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2013年09月16日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过蓓蓓</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2015年08月03日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2011年12月19日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场内简称：消费ETF</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紧密跟踪标的指数，追求跟踪偏离度和跟踪误差最小化。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包括中小板、创业板及其他经中国证监会核准上市的股票）、存托凭证、债券、货币市场工具、权证、股指期货、资产支持证券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主要投资于标的指数成份股、备选成份股。在建仓完成后，本基金投资于标的指数成份股、备选成份股的资产比例不低于基金资产的90%，权证、股指期货及其他金融工具的投资比例依照法律法规或监管机构的规定执行。</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采取完全复制法，即完全按照标的指数的成份股组成及其权重构建基金股票投资组合，并根据标的指数成份股及其权重的变动进行相应调整。但在因特殊情况（如流动性不足）导致无法获得足够数量的股票时，基金管理人将运用其他合理的投资方法构建本基金的实际投资组合，追求尽可能贴近目标指数的表现。在正常市场情况下，本基金日均跟踪偏离度的绝对值不超过 0.1%，年化跟踪误差不超过 2%。如因标的指数编制规则调整或其他因素导致跟踪偏离度和跟踪误差超过正常范围的，基金管理人应采取合理措施避免跟踪误差进一步扩大。本基金在综合考虑预期收益、风险、流动性等因素的基础上，根据审慎原则合理参与存托凭证的投资，以更好地跟踪标的指数，追求跟踪偏离度和跟踪误差的最小化。</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中证主要消费指数</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股票型基金,预期风险与预期收益高于混合型基金、债券型基金与货币市场基金。本基金为指数型基金,主要采用完全复制法跟踪标的指数的表现，具有与标的指数、以及标的指数所代表的股票市场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79403470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876096"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场外申购费率0.05%。投资者在场内申购基金份额时，申购代理券商可按照不超过申购份额0.5%的标准收取佣金，其中包含证券交易所、注册登记机构等收取的相关费用。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场外赎回费率0.15%。投资者在场内赎回基金份额时，赎回代理券商可按照不超过赎回份额0.5%的标准收取佣金，其中包含证券交易所、注册登记机构等收取的相关费用。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本基金指数许可使用费按前一日的基金资产净值的0.03%的年费率计提。本基金指数许可使用费的收取下限为每季度3.5万元，合计年下限为14万元，若计费期间不足一季度的，则根据实际天数按比例计算。当季日均基金资产净值小于或等于人民币5000万元时，则不设指数许可使用费的收取下限。</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和诉讼费，基金份额持有人大会费用，基金的证券交易费用，基金的银行汇划费用，基金上市费及年费，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0.63%</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指数许可使用费（若有）若适用固定费率的，使用现行费率直接计算；若已适用下限金额的，计算方法参照其他运作费用。</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投资于本基金的风险包括：市场风险、管理风险、流动性风险、特定风险、操作或技术风险、合规性风险、其他风险。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其中特定风险包括: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1、指数化投资的风险：ETF 作为股票指数基金，在投资管理中会至少维持90%的股票投资比例，具有对股票市场的系统性风险，不能规避市场下跌的风险和个股风险。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跟踪误差的风险：由于标的指数成份股配股、增发、分红等公司行为；标的指数成份股调整；基金现金资产的拖累；基金的管理费和托管费带来的跟踪误差；指数成份股停牌、摘牌，成份股涨、跌停板等因素带来的偏差；由于缺少衍生金融工具，基金建仓期间无法实现对指数的有效跟踪所带来的偏差等。</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3、标的指数变更的风险以及指数编制机构停止服务的风险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 xml:space="preserve">4、成份股停牌的风险 </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5、二级市场折溢价风险：ETF二级市场的价格受供需关系的影响，可能高于或低于基金的份额净值，形成溢价交易或折价交易。</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6、二级市场流动性风险：ETF可在二级市场进行买卖，因此也可能面临因市场交易量不足而造成的流动性问题，带来基金在二级市场的流动性风险。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7、套利风险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8、参考IOPV决策和IOPV计算错误的风险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9、退市风险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10、投资者申购失败的风险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11、投资者赎回失败的风险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12、基金份额赎回对价的变现风险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13、申赎清单标识设置风险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14、第三方机构服务的风险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15、存托凭证投资风险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