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中证上海国企交易型开放式指数证券投资基金更新基金产品资料概要(2024年06月07日更新)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中证上海国企ETF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510810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2016年07月28日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2016年08月29日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扩位证券简称：上海国企ETF。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中小板、创业板及其他中国证监会核准上市的股票)、存托凭证、债券(包括国债、金融债、企业债、公司债、次级债、可交换债券、可转换债券、分离交易可转债、中小企业私募债券、央行票据、中期票据、短期融资券(含超短期融资券)等)、资产支持证券、债券回购、银行存款、同业存单、货币市场工具、衍生工具(包括股指期货、权证、国债期货、股票期权等)及法律法规或中国证监会允许基金投资的其他金融工具(但须符合中国证监会的相关规定)。如法律法规或监管机构以后允许基金投资其他品种，基金管理人在履行适当程序后，可以将其纳入投资范围。本基金投资于标的指数成份股和备选成份股的比例不低于基金资产净值的90%，且不低于非现金基金资产的80%，因法律法规的规定而受限制的情形除外。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力争日均跟踪偏离度的绝对值不超过0.2%，年跟踪误差不超过2%。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金融衍生工具投资策略、融资及转融通投资策略、存托凭证的投资策略。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中证上海国企指数</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为证券投资基金中较高风险、较高预期收益的品种。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1662389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4621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投资者在申购或赎回基金份额时，申购赎回代理券商可按照不超过0.5%的标准收取佣金，其中包含证券交易所、登记机构等收取的相关费用。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投资者在申购或赎回基金份额时，申购赎回代理券商可按照不超过0.5%的标准收取佣金，其中包含证券交易所、登记机构等收取的相关费用。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上市费及年费，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投资于本基金的风险包括：市场风险、流动性风险、本基金的特有风险、管理风险、信用风险、操作或技术风险、合规性风险、其他风险。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1、标的指数回报与股票市场平均回报偏离的风险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2、标的指数波动的风险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3、基金投资组合回报与标的指数回报偏离的风险及跟踪误差未达约定目标的风险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6、基金份额二级市场交易价格折溢价的风险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11、基金份额赎回对价的变现风险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12、第三方机构服务的风险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13、集合申购业务的风险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14、基金投资中小企业私募债券的风险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15、基金投资资产支持证券的风险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16、股指期货、国债期货、股票期权等金融衍生品投资风险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17、基金参与融资与转融通业务的风险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18、基金资产投资于科创板股票的风险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19、存托凭证投资风险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