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中证医药卫生交易型开放式指数证券投资基金更新基金产品资料概要(2024年06月07日更新)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汇添富中证医药卫生ETF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159929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2013年08月23日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2015年08月03日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场内简称：医药ETF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中小板、创业板及其他经中国证监会核准上市的股票)、存托凭证、债券、货币市场工具、权证、股指期货、资产支持证券以及法律法规或中国证监会允许基金投资的其他金融工具(但须符合中国证监会相关规定)。 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主要投资于标的指数成份股、备选成份股。在建仓完成后，本基金投资于标的指数成份股、备选成份股的资产比例不低于基金资产的90%，权证、股指期货及其他金融工具的投资比例依照法律法规或监管机构的规定执行。</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主要采取完全复制法，即完全按照标的指数的成份股组成及其权重构建基金股票投资组合，并根据标的指数成份股及其权重的变动进行相应调整。但在因特殊情况（如流动性不足）导致无法获得足够数量的股票时，基金管理人将运用其他合理的投资方法构建本基金的实际投资组合，追求尽可能贴近目标指数的表现。在正常市场情况下，本基金日均跟踪偏离度的绝对值不超过 0.1%，年化跟踪误差不超过 2%。如因标的指数编制规则调整或其他因素导致跟踪偏离度和跟踪误差超过正常范围的，基金管理人应采取合理措施避免跟踪误差进一步扩大。本基金在综合考虑预期收益、风险、流动性等因素的基础上，根据审慎原则合理参与存托凭证的投资，以更好地跟踪标的指数，追求跟踪偏离度和跟踪误差的最小化。 </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中证医药卫生指数</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股票型基金，预期风险与预期收益高于混合型基金、债券型基金与货币市场基金。本基金为指数型基金,主要采用完全复制法跟踪标的指数的表现，具有与标的指数、以及标的指数所代表的股票市场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94138408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79991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场外申购费率0.05%。投资者在场内申购基金份额时，申购代理券商可按照不超过申购份额0.5%的标准收取佣金，其中包含证券交易所、注册登记机构等收取的相关费用。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场外赎回费率0.15%。投资者在场内赎回基金份额时，赎回代理券商可按照不超过赎回份额0.5%的标准收取佣金，其中包含证券交易所、注册登记机构等收取的相关费用。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0.03%的年费率计提。本基金指数许可使用费的收取下限为每季度3.5万元，合计年下限为14万元，若计费期间不足一季度的，则根据实际天数按比例计算。当季日均基金资产净值小于或等于人民币5000万元时，则不设指数许可使用费的收取下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交易费用，基金的银行汇划费用，基金上市费及年费，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投资于本基金的风险包括：市场风险、管理风险、流动性风险、特定风险、操作或技术风险、合规性风险、其他风险。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1、指数化投资的风险：ETF 作为股票指数基金，在投资管理中会至少维持90%的股票投资比例，具有对股票市场的系统性风险，不能规避市场下跌的风险和个股风险。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跟踪误差的风险：由于标的指数成份股配股、增发、分红等公司行为；标的指数成份股调整；基金现金资产的拖累；基金的管理费和托管费带来的跟踪误差；指数成份股停牌、摘牌，成份股涨、跌停板等因素带来的偏差；由于缺少衍生金融工具，基金建仓期间无法实现对指数的有效跟踪所带来的偏差等。</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4、成份股停牌的风险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5、二级市场折溢价风险：ETF二级市场的价格受供需关系的影响，可能高于或低于基金的份额净值，形成溢价交易或折价交易。</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6、二级市场流动性风险：ETF可在二级市场进行买卖，因此也可能面临因市场交易量不足而造成的流动性问题，带来基金在二级市场的流动性风险。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7、套利风险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8、参考IOPV决策和IOPV计算错误的风险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9、退市风险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10、投资者申购失败的风险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11、投资者赎回失败的风险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12、基金份额赎回对价的变现风险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13、申赎清单标识设置风险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14、第三方机构服务的风险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15、存托凭证投资风险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