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中证长三角一体化发展主题交易型开放式指数证券投资基金更新基金产品资料概要(2024年06月07日更新)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添富中证长三角ETF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512650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上海浦东发展银行股份有限公司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2019年07月26日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2019年10月25日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孙浩</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2024年04月19日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扩位证券简称：长三角ETF。</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为更好地实现投资目标，本基金可少量投资于非成份股(包括中小板、创业板及其他中国证监会核准上市的股票)、存托凭证、债券(包括国债、金融债、企业债、公司债、次级债、可交换债券、可转换债券、分离交易可转债、央行票据、中期票据、短期融资券(含超短期融资券)等)、资产支持证券、债券回购、银行存款、同业存单、货币市场工具、衍生工具(包括股指期货、国债期货、股票期权等)及法律法规或中国证监会允许基金投资的其他金融工具(但须符合中国证监会相关规定)。在条件许可的情况下，基金管理人可在不改变本基金既有投资目标、策略和风险收益特征并在控制风险的前提下，根据相关法律法规，参与融资及转融通证券出借业务，以提高投资效率及进行风险管理。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标的指数成份股和备选成份股的比例不得低于基金资产净值的90%，且不低于非现金基金资产的80%，因法律法规的规定而受限制的情形除外。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完全复制法，即完全按照标的指数的成份股组成及其权重构建基金股票投资组合，并根据标的指数成份股及其权重的变化进行相应调整。但在因特殊情况（如流动性不足等）导致本基金无法有效复制和跟踪标的指数时，基金管理人将运用其他合理的投资方法构建本基金的实际投资组合，追求尽可能贴近目标指数的表现。本基金力争日均跟踪偏离度的绝对值不超过 0.2%，年跟踪误差不超过 2%。如因标的指数编制规则调整等其他原因，导致基金跟踪偏离度和跟踪误差超过上述范围，基金管理人应采取合理措施，避免跟踪偏离度和跟踪误差的进一步扩大。本基金的投资策略主要包括：资产配置策略、债券投资策略、资产支持证券投资策略、金融衍生工具投资策略、融资及转融通投资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中证长三角一体化发展主题指数收益率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本基金属于股票型基金，其预期的风险与收益高于混合型基金、债券型基金与货币市场基金。同时本基金为指数基金，主要采用完全复制法跟踪标的指数表现，具有与标的指数相似的风险收益特征。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23069545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94276"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投资者在申购或赎回时，申购赎回代理券商可按照不超过0.2%的标准收取佣金，其中包含证券交易所、登记机构等收取的相关费用。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投资者在申购或赎回时，申购赎回代理券商可按照不超过0.2%的标准收取佣金，其中包含证券交易所、登记机构等收取的相关费用。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本基金指数许可使用费按前一日的基金资产净值的0.03%的年费率计提。本基金指数许可使用费的收取下限为每季度3.5万元，合计年下限为14万元，若计费期间不足一季度的，则根据实际天数按比例计算。当季日均基金资产净值小于或等于人民币5000万元时，则不设指数许可使用费的收取下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交易费用；基金的上市费及年费；基金的开户费用、账户维护费用；基金的银行汇划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0.27%</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指数许可使用费（若有）若适用固定费率的，使用现行费率直接计算；若已适用下限金额的，计算方法参照其他运作费用。</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于本基金的风险包括：市场风险、流动性风险、本基金的特有风险、管理风险、信用风险、操作或技术风险、合规性风险、本基金法律文件风险收益特征表述与销售机构基金风险评价可能不一致的风险、税负增加风险、其他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1、标的指数回报与股票市场平均回报偏离的风险：标的指数并不能完全代表整个股票市场。标的指数成份股的平均回报率与整个股票市场的平均回报率可能存在偏离。</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2、标的指数波动的风险：标的指数成份股的价格可能受到政治因素、经济因素、上市公司经营状况、投资者心理和交易制度等各种因素的影响而波动，导致指数波动，从而使基金收益水平发生变化，产生风险。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3、基金投资组合回报与标的指数回报偏离的风险及跟踪误差未达约定目标的风险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4、标的指数变更的风险以及指数编制机构停止服务的风险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5、成份股停牌的风险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6、基金份额二级市场交易价格折溢价的风险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7、参考IOPV决策和IOPV计算错误的风险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8、退市风险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9、投资者申购失败的风险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10、投资者赎回失败的风险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11、赎回对价的变现风险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12、退补现金替代方式的风险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13、套利风险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14、申购赎回清单差错风险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15、第三方机构服务的风险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16、基金投资资产支持证券的风险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17、股指期货、国债期货、股票期权等金融衍生品投资风险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18、基金参与融资与转融通业务的风险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19、投资科创板股票风险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20、存托凭证投资风险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