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中证上海国企交易型开放式指数证券投资基金联接基金A类份额更新基金产品资料概要(2024年06月07日更新)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汇添富中证上海国企ETF联接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003194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汇添富中证上海国企ETF联接A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003194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2016年09月18日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本基金的标的指数为中证上海国企指数及其未来可能发生的变更。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为更好地实现投资目标，本基金还可投资于非成份股（包括中小板、创业板及其他经中国证监会核准上市的股票）、存托凭证、债券（国债、金融债、企业债、公司债、次级债、可交换债券、可转换债券、分离交易可转债、中小企业私募债券、央行票据、中期票据、短期融资券（含超短期融资券）等）、资产支持证券、债券回购、银行存款、同业存单、货币市场工具、衍生工具（包括股指期货、权证、国债期货、股票期权等）及法律法规或中国证监会允许基金投资的其他金融工具（但须符合中国证监会的相关规定）。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目标ETF的比例不低于基金资产净值的90%，每个交易日日终在扣除股指期货、国债期货和股票期权合约需缴纳的交易保证金后，现金或到期日在一年以内的政府债券的投资比例不低于基金资产净值的5%。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本基金主要投资于目标ETF，方便特定的客户群通过本基金投资目标ETF。本基金不参与目标ETF的投资管理。本基金的投资策略主要包括：资产配置策略；目标 ETF 的投资策略；成份股、备选成份股投资策略；存托凭证投资策略；固定收益资产投资策略；金融衍生工具投资策略。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中证上海国企指数收益率*95%+银行人民币活期存款利率(税后)*5%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中证上海国企ETF的联接基金，通过投资于目标ETF，紧密跟踪标的指数，具有与标的指数、以及标的指数所代表的证券市场相似的风险收益特征。同时，本基金为被动式投资的股票型指数基金，预期风险与预期收益高于混合型基金、债券型基金与货币市场基金，为证券投资基金中较高风险、较高预期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047183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9133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365天≤N&lt;730天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本基金基金财产中投资于目标ETF的部分不收取管理费。2、本基金基金财产中投资于目标ETF的部分不收取托管费。3、《基金合同》生效后与基金相关的律师费和诉讼费；基金份额持有人大会费用；基金的证券、期货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投资于本基金的风险包括：市场风险、流动性风险、管理风险、信用风险、操作或技术风险、合规性风险、本基金的特有风险、其他风险。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特有风险包括：（1）投资于目标ETF基金带来的风险。（2）跟踪偏离风险：本基金主要投资于目标ETF基金份额，追求跟踪标的指数，获得与指数收益相似的回报。（3）与目标ETF业绩差异的风险。（4）其他投资于目标ETF的风险。（5）标的指数的风险。（6）标的指数波动的风险。（7）标的指数回报与股票市场平均回报偏离的风险。（8）基金投资组合回报与标的指数回报偏离的风险。（9）标的指数变更的风险以及指数编制机构停止服务的风险。（10）成份股停牌的风险。（11）基金投资中小企业私募债券的风险。（12）基金投资资产支持证券的风险。（13）股指期货、国债期货、股票期权等金融衍生品投资风险。（14）基金参与融资与转融通证券业务出借的风险。（15）存托凭证投资风险。（16）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