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中证长三角一体化发展主题交易型开放式指数证券投资基金联接基金C类份额更新基金产品资料概要(2024年06月07日更新)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汇添富中证长三角ETF联接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007839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汇添富中证长三角ETF联接C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007840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上海浦东发展银行股份有限公司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2019年09月24日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孙浩</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2023年09月28日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通过投资于目标ETF，紧密跟踪标的指数，追求跟踪偏离度和跟踪误差的最小化。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本基金的标的指数是中证长三角一体化发展主题指数及其未来可能发生的变更。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标的指数成份股和备选成份股。为更好地实现投资目标，基金还可投资于其他股票(包括中小板、创业板及其他经中国证监会核准上市的股票)、存托凭证、债券(包括国债、金融债券、企业债券、公司债券、央行票据、中期票据、短期融资券、超短期融资券、次级债券、政府支持债券、政府支持机构债券、地方政府债券、可交换债券、可转换债券(分离交易可转债)等)、资产支持证券、债券回购、同业存单、银行存款(包括定期存款、协议存款及其他银行存款)、货币市场工具、金融衍生工具(包括股指期货、国债期货、股票期权等)以及法律法规或中国证监会允许基金投资的其他金融工具(但须符合中国证监会的相关规定)。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目标ETF的比例不得低于基金资产净值的90%，每个交易日日终在扣除股指期货、国债期货和股票期权合约需缴纳的交易保证金后，现金或到期日在一年以内的政府债券的投资比例不低于基金资产净值的5%，本基金所指的现金类资产范围不包括结算备付金、存出保证金、应收申购款等资金类别。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方便特定的客户群通过本基金投资目标ETF。本基金不参与目标ETF的投资管理。本基金的投资策略主要包括：资产配置策略；目标ETF的投资策略；成份股、备选成份股投资策略；债券投资策略；可转换债券投资策略；资产支持证券投资策略；金融衍生工具投资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中证长三角一体化发展主题指数收益率*95%+银行人民币活期存款利率(税后)*5%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本基金为中证长三角一体化发展主题ETF的联接基金，预期风险与预期收益高于混合型基金、债券型基金与货币市场基金，本基金通过投资目标ETF，紧密跟踪标的指数，具有与标的指数相似的风险收益特征。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58725596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095593"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本基金基金财产中投资于目标ETF的部分不收取管理费。2、本基金基金财产中投资于目标ETF的部分不收取托管费。3、《基金合同》生效后与基金相关的律师费和诉讼费；基金份额持有人大会费用；基金的证券、期货交易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0.55%</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基金财产中投资于目标ETF的部分不收取管理费和托管费，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投资于本基金的风险包括：市场风险、流动性风险、本基金的特有风险、管理风险、信用风险、操作或技术风险、合规性风险、税负增加风险、本基金法律文件风险收益特征表述与销售机构基金风险评价可能不一致的风险、其他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（1）投资于目标ETF基金带来的风险。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（2）跟踪偏离风险。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（3）与目标ETF业绩差异的风险。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（4）其他投资于目标ETF的风险。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（5）标的指数的风险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（6）标的指数波动的风险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（7）标的指数回报与股票市场平均回报偏离的风险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（8）基金投资组合回报与标的指数回报偏离的风险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（9）标的指数变更的风险以及指数编制机构停止服务的风险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（10）成份股停牌的风险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（11）基金投资资产支持证券的风险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（12）股指期货、国债期货、股票期权等金融衍生品投资风险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（13）基金参与转融通证券业务出借的风险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 xml:space="preserve">（14）基金资产投资于科创板股票，会面临科创板机制下因投资标的、市场制度以及交易规则等差异带来的特有风险，包括但不限于市场风险、流动性风险、科创板企业退市风险、政策风险等。基金可根据投资策略需要或市场环境的变化，选择将部分基金资产投资于科创板股票或选择不将基金资产投资于科创板股票，基金资产并非必然投资于科创板股票。 </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（15）存托凭证投资风险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（16）启用侧袋机制的风险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