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汇添富中证中药交易型开放式指数证券投资基金更新基金产品资料概要(2024年06月07日更新)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汇添富中证中药ETF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560080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场内简称：中药ETF；扩位证券简称：中药ETF；认购代码：560083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当本基金不再具备上市条件而被上海证券交易所终止上市的，本基金可由交易型开放式基金变更为跟踪标的指数的非上市的开放式指数基金，而无需召开基金份额持有人大会审议。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本基金的标的指数为中证中药指数及其未来可能发生的变更。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标的指数的表现。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中证中药指数收益率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809344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8254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