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4"/>
          <w:szCs w:val="24"/>
        </w:rPr>
      </w:pPr>
      <w:r>
        <w:rPr>
          <w:rFonts w:hint="eastAsia"/>
          <w:b/>
          <w:sz w:val="24"/>
          <w:szCs w:val="24"/>
        </w:rPr>
        <w:t>诺安聚利债券型证券投资基金恢复申购（含定投）及转换转入业务并限制投资者大额申购及大额转换转入业务的公告</w:t>
      </w:r>
    </w:p>
    <w:p>
      <w:pPr>
        <w:jc w:val="center"/>
        <w:rPr>
          <w:rFonts w:ascii="Times New Roman" w:hAnsi="Times New Roman"/>
          <w:b/>
          <w:sz w:val="24"/>
          <w:szCs w:val="24"/>
        </w:rPr>
      </w:pPr>
    </w:p>
    <w:p>
      <w:pPr>
        <w:jc w:val="center"/>
        <w:rPr>
          <w:rFonts w:ascii="Times New Roman" w:hAnsi="Times New Roman"/>
          <w:b/>
          <w:color w:val="000000"/>
          <w:kern w:val="0"/>
          <w:szCs w:val="21"/>
        </w:rPr>
      </w:pPr>
      <w:r>
        <w:rPr>
          <w:rFonts w:ascii="Times New Roman" w:hAnsi="Times New Roman"/>
          <w:b/>
          <w:sz w:val="24"/>
          <w:szCs w:val="24"/>
        </w:rPr>
        <w:t>公告送出日期：202</w:t>
      </w:r>
      <w:r>
        <w:rPr>
          <w:rFonts w:hint="eastAsia" w:ascii="Times New Roman" w:hAnsi="Times New Roman"/>
          <w:b/>
          <w:sz w:val="24"/>
          <w:szCs w:val="24"/>
        </w:rPr>
        <w:t>4</w:t>
      </w:r>
      <w:r>
        <w:rPr>
          <w:rFonts w:ascii="Times New Roman" w:hAnsi="Times New Roman"/>
          <w:b/>
          <w:sz w:val="24"/>
          <w:szCs w:val="24"/>
        </w:rPr>
        <w:t>年6月7日</w:t>
      </w:r>
    </w:p>
    <w:p>
      <w:pPr>
        <w:jc w:val="left"/>
        <w:rPr>
          <w:rFonts w:ascii="宋体" w:hAnsi="宋体"/>
          <w:b/>
          <w:color w:val="000000"/>
          <w:kern w:val="0"/>
          <w:szCs w:val="21"/>
        </w:rPr>
      </w:pPr>
      <w:r>
        <w:rPr>
          <w:rFonts w:hint="eastAsia" w:ascii="宋体" w:hAnsi="宋体"/>
          <w:b/>
          <w:color w:val="000000"/>
          <w:kern w:val="0"/>
          <w:szCs w:val="21"/>
        </w:rPr>
        <w:t>1、公告基本信息</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2126"/>
        <w:gridCol w:w="2551"/>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eastAsia="方正仿宋简体"/>
                <w:color w:val="000000"/>
                <w:szCs w:val="21"/>
                <w:highlight w:val="cyan"/>
              </w:rPr>
            </w:pPr>
            <w:r>
              <w:rPr>
                <w:rFonts w:hint="eastAsia"/>
                <w:color w:val="000000"/>
                <w:szCs w:val="21"/>
              </w:rPr>
              <w:t>基金名称</w:t>
            </w:r>
          </w:p>
        </w:tc>
        <w:tc>
          <w:tcPr>
            <w:tcW w:w="5012" w:type="dxa"/>
            <w:gridSpan w:val="2"/>
            <w:vAlign w:val="center"/>
          </w:tcPr>
          <w:p>
            <w:pPr>
              <w:rPr>
                <w:rFonts w:ascii="Times New Roman" w:hAnsi="Times New Roman"/>
                <w:szCs w:val="21"/>
              </w:rPr>
            </w:pPr>
            <w:r>
              <w:rPr>
                <w:rFonts w:hint="eastAsia" w:ascii="Times New Roman"/>
                <w:szCs w:val="21"/>
              </w:rPr>
              <w:t>诺安聚利债券型证券投资基金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eastAsia="方正仿宋简体"/>
                <w:color w:val="000000"/>
                <w:kern w:val="0"/>
                <w:szCs w:val="21"/>
              </w:rPr>
            </w:pPr>
            <w:r>
              <w:rPr>
                <w:rFonts w:hint="eastAsia"/>
                <w:color w:val="000000"/>
                <w:szCs w:val="21"/>
              </w:rPr>
              <w:t>基金简称</w:t>
            </w:r>
          </w:p>
        </w:tc>
        <w:tc>
          <w:tcPr>
            <w:tcW w:w="5012" w:type="dxa"/>
            <w:gridSpan w:val="2"/>
            <w:vAlign w:val="center"/>
          </w:tcPr>
          <w:p>
            <w:pPr>
              <w:rPr>
                <w:rFonts w:ascii="Times New Roman" w:hAnsi="Times New Roman"/>
                <w:szCs w:val="21"/>
              </w:rPr>
            </w:pPr>
            <w:r>
              <w:rPr>
                <w:rFonts w:hint="eastAsia" w:ascii="Times New Roman"/>
                <w:szCs w:val="21"/>
              </w:rPr>
              <w:t>诺安聚利债券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eastAsia="方正仿宋简体"/>
                <w:color w:val="000000"/>
                <w:kern w:val="0"/>
                <w:szCs w:val="21"/>
              </w:rPr>
            </w:pPr>
            <w:r>
              <w:rPr>
                <w:rFonts w:hint="eastAsia"/>
                <w:color w:val="000000"/>
                <w:szCs w:val="21"/>
              </w:rPr>
              <w:t>基金主代码</w:t>
            </w:r>
          </w:p>
        </w:tc>
        <w:tc>
          <w:tcPr>
            <w:tcW w:w="5012" w:type="dxa"/>
            <w:gridSpan w:val="2"/>
            <w:vAlign w:val="center"/>
          </w:tcPr>
          <w:p>
            <w:pPr>
              <w:rPr>
                <w:rFonts w:ascii="Times New Roman" w:hAnsi="Times New Roman"/>
                <w:szCs w:val="21"/>
              </w:rPr>
            </w:pPr>
            <w:r>
              <w:rPr>
                <w:rFonts w:ascii="Times New Roman" w:hAnsi="Times New Roman"/>
              </w:rPr>
              <w:t>000736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eastAsia="方正仿宋简体"/>
                <w:color w:val="000000"/>
                <w:kern w:val="0"/>
                <w:szCs w:val="21"/>
              </w:rPr>
            </w:pPr>
            <w:r>
              <w:rPr>
                <w:rFonts w:hint="eastAsia"/>
                <w:color w:val="000000"/>
                <w:szCs w:val="21"/>
              </w:rPr>
              <w:t>基金管理人名称</w:t>
            </w:r>
          </w:p>
        </w:tc>
        <w:tc>
          <w:tcPr>
            <w:tcW w:w="5012" w:type="dxa"/>
            <w:gridSpan w:val="2"/>
            <w:vAlign w:val="center"/>
          </w:tcPr>
          <w:p>
            <w:pPr>
              <w:rPr>
                <w:szCs w:val="21"/>
              </w:rPr>
            </w:pPr>
            <w:r>
              <w:rPr>
                <w:rFonts w:hint="eastAsia"/>
                <w:szCs w:val="21"/>
              </w:rPr>
              <w:t>诺安基金管理有限公司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eastAsia="方正仿宋简体"/>
                <w:color w:val="000000"/>
                <w:kern w:val="0"/>
                <w:szCs w:val="21"/>
              </w:rPr>
            </w:pPr>
            <w:r>
              <w:rPr>
                <w:rFonts w:hint="eastAsia"/>
                <w:color w:val="000000"/>
                <w:szCs w:val="21"/>
              </w:rPr>
              <w:t>公告依据</w:t>
            </w:r>
          </w:p>
        </w:tc>
        <w:tc>
          <w:tcPr>
            <w:tcW w:w="5012" w:type="dxa"/>
            <w:gridSpan w:val="2"/>
            <w:vAlign w:val="center"/>
          </w:tcPr>
          <w:p>
            <w:pPr>
              <w:rPr>
                <w:szCs w:val="21"/>
              </w:rPr>
            </w:pPr>
            <w:r>
              <w:rPr>
                <w:szCs w:val="21"/>
              </w:rPr>
              <w:t>《公开募集证券投资基金信息披露管理办法》《</w:t>
            </w:r>
            <w:r>
              <w:rPr>
                <w:rFonts w:hint="eastAsia"/>
                <w:szCs w:val="21"/>
              </w:rPr>
              <w:t>诺安聚利债券型证券投资基金</w:t>
            </w:r>
            <w:r>
              <w:rPr>
                <w:szCs w:val="21"/>
              </w:rPr>
              <w:t>基金合同》《</w:t>
            </w:r>
            <w:r>
              <w:rPr>
                <w:rFonts w:hint="eastAsia"/>
                <w:szCs w:val="21"/>
              </w:rPr>
              <w:t>诺安聚利债券型证券投资基金</w:t>
            </w:r>
            <w:r>
              <w:rPr>
                <w:szCs w:val="21"/>
              </w:rPr>
              <w:t>招募说明书》等相关文件的规定。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rPr>
                <w:szCs w:val="21"/>
              </w:rPr>
            </w:pPr>
            <w:r>
              <w:rPr>
                <w:rFonts w:hint="eastAsia"/>
                <w:color w:val="000000"/>
                <w:szCs w:val="21"/>
              </w:rPr>
              <w:t>恢复相关业务的起始日及原因说明</w:t>
            </w:r>
          </w:p>
        </w:tc>
        <w:tc>
          <w:tcPr>
            <w:tcW w:w="2126" w:type="dxa"/>
            <w:vAlign w:val="center"/>
          </w:tcPr>
          <w:p>
            <w:pPr>
              <w:jc w:val="left"/>
              <w:rPr>
                <w:szCs w:val="21"/>
              </w:rPr>
            </w:pPr>
            <w:r>
              <w:rPr>
                <w:rFonts w:hint="eastAsia"/>
                <w:color w:val="000000"/>
                <w:szCs w:val="21"/>
              </w:rPr>
              <w:t>恢复申购起始日</w:t>
            </w:r>
          </w:p>
        </w:tc>
        <w:tc>
          <w:tcPr>
            <w:tcW w:w="5012" w:type="dxa"/>
            <w:gridSpan w:val="2"/>
            <w:vAlign w:val="center"/>
          </w:tcPr>
          <w:p>
            <w:pPr>
              <w:rPr>
                <w:rFonts w:ascii="Times New Roman" w:hAnsi="Times New Roman"/>
                <w:szCs w:val="21"/>
              </w:rPr>
            </w:pPr>
            <w:r>
              <w:rPr>
                <w:rFonts w:ascii="Times New Roman" w:hAnsi="Times New Roman"/>
                <w:szCs w:val="21"/>
              </w:rPr>
              <w:t>202</w:t>
            </w:r>
            <w:r>
              <w:rPr>
                <w:rFonts w:hint="eastAsia" w:ascii="Times New Roman" w:hAnsi="Times New Roman"/>
                <w:szCs w:val="21"/>
              </w:rPr>
              <w:t>4</w:t>
            </w:r>
            <w:r>
              <w:rPr>
                <w:rFonts w:ascii="Times New Roman"/>
                <w:szCs w:val="21"/>
              </w:rPr>
              <w:t>年</w:t>
            </w:r>
            <w:r>
              <w:rPr>
                <w:rFonts w:ascii="Times New Roman" w:hAnsi="Times New Roman"/>
                <w:szCs w:val="21"/>
              </w:rPr>
              <w:t>6</w:t>
            </w:r>
            <w:r>
              <w:rPr>
                <w:rFonts w:ascii="Times New Roman"/>
                <w:szCs w:val="21"/>
              </w:rPr>
              <w:t>月7日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color w:val="000000"/>
                <w:szCs w:val="21"/>
              </w:rPr>
            </w:pPr>
          </w:p>
        </w:tc>
        <w:tc>
          <w:tcPr>
            <w:tcW w:w="2126" w:type="dxa"/>
            <w:vAlign w:val="center"/>
          </w:tcPr>
          <w:p>
            <w:pPr>
              <w:jc w:val="left"/>
              <w:rPr>
                <w:color w:val="000000"/>
                <w:szCs w:val="21"/>
              </w:rPr>
            </w:pPr>
            <w:r>
              <w:rPr>
                <w:rFonts w:hint="eastAsia"/>
                <w:color w:val="000000"/>
                <w:szCs w:val="21"/>
              </w:rPr>
              <w:t>恢复</w:t>
            </w:r>
            <w:r>
              <w:rPr>
                <w:rFonts w:ascii="Times New Roman" w:hAnsi="Arial"/>
                <w:color w:val="333333"/>
                <w:szCs w:val="21"/>
                <w:shd w:val="clear" w:color="auto" w:fill="FFFFFF"/>
              </w:rPr>
              <w:t>转换转入起始日</w:t>
            </w:r>
          </w:p>
        </w:tc>
        <w:tc>
          <w:tcPr>
            <w:tcW w:w="5012" w:type="dxa"/>
            <w:gridSpan w:val="2"/>
            <w:vAlign w:val="center"/>
          </w:tcPr>
          <w:p>
            <w:pPr>
              <w:rPr>
                <w:rFonts w:ascii="Times New Roman" w:hAnsi="Times New Roman"/>
                <w:szCs w:val="21"/>
              </w:rPr>
            </w:pPr>
            <w:r>
              <w:rPr>
                <w:rFonts w:ascii="Times New Roman" w:hAnsi="Times New Roman"/>
                <w:szCs w:val="21"/>
              </w:rPr>
              <w:t>202</w:t>
            </w:r>
            <w:r>
              <w:rPr>
                <w:rFonts w:hint="eastAsia" w:ascii="Times New Roman" w:hAnsi="Times New Roman"/>
                <w:szCs w:val="21"/>
              </w:rPr>
              <w:t>4</w:t>
            </w:r>
            <w:r>
              <w:rPr>
                <w:rFonts w:ascii="Times New Roman"/>
                <w:szCs w:val="21"/>
              </w:rPr>
              <w:t>年</w:t>
            </w:r>
            <w:r>
              <w:rPr>
                <w:rFonts w:ascii="Times New Roman" w:hAnsi="Times New Roman"/>
                <w:szCs w:val="21"/>
              </w:rPr>
              <w:t>6</w:t>
            </w:r>
            <w:r>
              <w:rPr>
                <w:rFonts w:ascii="Times New Roman"/>
                <w:szCs w:val="21"/>
              </w:rPr>
              <w:t>月7日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color w:val="000000"/>
                <w:szCs w:val="21"/>
              </w:rPr>
            </w:pPr>
          </w:p>
        </w:tc>
        <w:tc>
          <w:tcPr>
            <w:tcW w:w="2126" w:type="dxa"/>
            <w:vAlign w:val="center"/>
          </w:tcPr>
          <w:p>
            <w:pPr>
              <w:jc w:val="left"/>
              <w:rPr>
                <w:color w:val="000000"/>
                <w:szCs w:val="21"/>
              </w:rPr>
            </w:pPr>
            <w:r>
              <w:rPr>
                <w:rFonts w:hint="eastAsia"/>
                <w:color w:val="000000"/>
                <w:szCs w:val="21"/>
              </w:rPr>
              <w:t>恢复定期定额投资起始日</w:t>
            </w:r>
          </w:p>
        </w:tc>
        <w:tc>
          <w:tcPr>
            <w:tcW w:w="5012" w:type="dxa"/>
            <w:gridSpan w:val="2"/>
            <w:vAlign w:val="center"/>
          </w:tcPr>
          <w:p>
            <w:pPr>
              <w:rPr>
                <w:rFonts w:ascii="Times New Roman" w:hAnsi="Times New Roman"/>
              </w:rPr>
            </w:pPr>
            <w:r>
              <w:rPr>
                <w:rFonts w:ascii="Times New Roman" w:hAnsi="Times New Roman"/>
                <w:szCs w:val="21"/>
              </w:rPr>
              <w:t>202</w:t>
            </w:r>
            <w:r>
              <w:rPr>
                <w:rFonts w:hint="eastAsia" w:ascii="Times New Roman" w:hAnsi="Times New Roman"/>
                <w:szCs w:val="21"/>
              </w:rPr>
              <w:t>4</w:t>
            </w:r>
            <w:r>
              <w:rPr>
                <w:rFonts w:ascii="Times New Roman"/>
                <w:szCs w:val="21"/>
              </w:rPr>
              <w:t>年</w:t>
            </w:r>
            <w:r>
              <w:rPr>
                <w:rFonts w:ascii="Times New Roman" w:hAnsi="Times New Roman"/>
                <w:szCs w:val="21"/>
              </w:rPr>
              <w:t>6</w:t>
            </w:r>
            <w:r>
              <w:rPr>
                <w:rFonts w:ascii="Times New Roman"/>
                <w:szCs w:val="21"/>
              </w:rPr>
              <w:t>月7日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szCs w:val="21"/>
              </w:rPr>
            </w:pPr>
          </w:p>
        </w:tc>
        <w:tc>
          <w:tcPr>
            <w:tcW w:w="2126" w:type="dxa"/>
            <w:vAlign w:val="center"/>
          </w:tcPr>
          <w:p>
            <w:pPr>
              <w:rPr>
                <w:szCs w:val="21"/>
              </w:rPr>
            </w:pPr>
            <w:r>
              <w:rPr>
                <w:rFonts w:hint="eastAsia"/>
                <w:color w:val="000000"/>
                <w:szCs w:val="21"/>
              </w:rPr>
              <w:t>恢复申购、转换转入、定期定额投资业务的原因说明</w:t>
            </w:r>
          </w:p>
        </w:tc>
        <w:tc>
          <w:tcPr>
            <w:tcW w:w="5012" w:type="dxa"/>
            <w:gridSpan w:val="2"/>
            <w:vAlign w:val="center"/>
          </w:tcPr>
          <w:p>
            <w:pPr>
              <w:rPr>
                <w:rFonts w:ascii="Times New Roman" w:hAnsi="Times New Roman"/>
                <w:szCs w:val="21"/>
              </w:rPr>
            </w:pPr>
            <w:r>
              <w:rPr>
                <w:rFonts w:hint="eastAsia" w:ascii="Times New Roman"/>
                <w:color w:val="000000"/>
                <w:szCs w:val="21"/>
              </w:rPr>
              <w:t>为满足投资者的投资需求</w:t>
            </w:r>
            <w:bookmarkStart w:id="0" w:name="_GoBack"/>
            <w:bookmarkEnd w:id="0"/>
            <w:r>
              <w:rPr>
                <w:rFonts w:ascii="Times New Roman"/>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ascii="Times New Roman" w:hAnsi="Times New Roman"/>
                <w:szCs w:val="21"/>
              </w:rPr>
            </w:pPr>
            <w:r>
              <w:rPr>
                <w:rFonts w:ascii="Times New Roman"/>
                <w:szCs w:val="21"/>
              </w:rPr>
              <w:t>下属分级基金的基金简称</w:t>
            </w:r>
          </w:p>
        </w:tc>
        <w:tc>
          <w:tcPr>
            <w:tcW w:w="2551" w:type="dxa"/>
            <w:vAlign w:val="center"/>
          </w:tcPr>
          <w:p>
            <w:pPr>
              <w:jc w:val="center"/>
              <w:rPr>
                <w:rFonts w:ascii="Times New Roman" w:hAnsi="Times New Roman"/>
                <w:szCs w:val="21"/>
              </w:rPr>
            </w:pPr>
            <w:r>
              <w:rPr>
                <w:rFonts w:hint="eastAsia" w:ascii="Times New Roman"/>
                <w:szCs w:val="21"/>
              </w:rPr>
              <w:t>诺安聚利债券A</w:t>
            </w:r>
          </w:p>
        </w:tc>
        <w:tc>
          <w:tcPr>
            <w:tcW w:w="2461" w:type="dxa"/>
            <w:vAlign w:val="center"/>
          </w:tcPr>
          <w:p>
            <w:pPr>
              <w:autoSpaceDE w:val="0"/>
              <w:autoSpaceDN w:val="0"/>
              <w:adjustRightInd w:val="0"/>
              <w:jc w:val="center"/>
              <w:rPr>
                <w:rFonts w:ascii="Times New Roman" w:hAnsi="Times New Roman"/>
                <w:szCs w:val="21"/>
              </w:rPr>
            </w:pPr>
            <w:r>
              <w:rPr>
                <w:rFonts w:hint="eastAsia" w:ascii="Times New Roman"/>
                <w:szCs w:val="21"/>
              </w:rPr>
              <w:t>诺安聚利债券C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ascii="Times New Roman" w:hAnsi="Times New Roman"/>
                <w:szCs w:val="21"/>
              </w:rPr>
            </w:pPr>
            <w:r>
              <w:rPr>
                <w:rFonts w:ascii="Times New Roman"/>
                <w:szCs w:val="21"/>
              </w:rPr>
              <w:t>下属分级基金的基金代码</w:t>
            </w:r>
          </w:p>
        </w:tc>
        <w:tc>
          <w:tcPr>
            <w:tcW w:w="2551" w:type="dxa"/>
            <w:vAlign w:val="center"/>
          </w:tcPr>
          <w:p>
            <w:pPr>
              <w:jc w:val="center"/>
              <w:rPr>
                <w:rFonts w:ascii="Times New Roman" w:hAnsi="Times New Roman"/>
                <w:szCs w:val="21"/>
              </w:rPr>
            </w:pPr>
            <w:r>
              <w:rPr>
                <w:rFonts w:ascii="Times New Roman" w:hAnsi="Times New Roman"/>
                <w:szCs w:val="21"/>
              </w:rPr>
              <w:t>000736</w:t>
            </w:r>
          </w:p>
        </w:tc>
        <w:tc>
          <w:tcPr>
            <w:tcW w:w="2461" w:type="dxa"/>
            <w:vAlign w:val="center"/>
          </w:tcPr>
          <w:p>
            <w:pPr>
              <w:autoSpaceDE w:val="0"/>
              <w:autoSpaceDN w:val="0"/>
              <w:adjustRightInd w:val="0"/>
              <w:jc w:val="center"/>
              <w:rPr>
                <w:rFonts w:ascii="Times New Roman" w:hAnsi="Times New Roman"/>
                <w:szCs w:val="21"/>
              </w:rPr>
            </w:pPr>
            <w:r>
              <w:rPr>
                <w:rFonts w:ascii="Times New Roman" w:hAnsi="Times New Roman"/>
                <w:szCs w:val="21"/>
              </w:rPr>
              <w:t>000737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center"/>
          </w:tcPr>
          <w:p>
            <w:pPr>
              <w:rPr>
                <w:rFonts w:ascii="Times New Roman" w:hAnsi="Times New Roman"/>
                <w:szCs w:val="21"/>
              </w:rPr>
            </w:pPr>
            <w:r>
              <w:rPr>
                <w:rFonts w:ascii="Times New Roman"/>
                <w:szCs w:val="21"/>
              </w:rPr>
              <w:t>该分级基金是否</w:t>
            </w:r>
            <w:r>
              <w:rPr>
                <w:rFonts w:hint="eastAsia" w:ascii="Times New Roman"/>
                <w:szCs w:val="21"/>
              </w:rPr>
              <w:t>恢复</w:t>
            </w:r>
            <w:r>
              <w:rPr>
                <w:rFonts w:ascii="Times New Roman"/>
                <w:szCs w:val="21"/>
              </w:rPr>
              <w:t>申购、</w:t>
            </w:r>
            <w:r>
              <w:rPr>
                <w:rFonts w:hint="eastAsia"/>
                <w:color w:val="000000"/>
                <w:szCs w:val="21"/>
              </w:rPr>
              <w:t>转换转入、</w:t>
            </w:r>
            <w:r>
              <w:rPr>
                <w:rFonts w:ascii="Times New Roman" w:hAnsi="Times New Roman"/>
                <w:szCs w:val="21"/>
              </w:rPr>
              <w:t>定期定额投资</w:t>
            </w:r>
          </w:p>
        </w:tc>
        <w:tc>
          <w:tcPr>
            <w:tcW w:w="2551" w:type="dxa"/>
            <w:vAlign w:val="center"/>
          </w:tcPr>
          <w:p>
            <w:pPr>
              <w:jc w:val="center"/>
              <w:rPr>
                <w:rFonts w:ascii="Times New Roman" w:hAnsi="Times New Roman"/>
                <w:szCs w:val="21"/>
              </w:rPr>
            </w:pPr>
            <w:r>
              <w:rPr>
                <w:rFonts w:ascii="Times New Roman"/>
                <w:szCs w:val="21"/>
              </w:rPr>
              <w:t>是</w:t>
            </w:r>
          </w:p>
        </w:tc>
        <w:tc>
          <w:tcPr>
            <w:tcW w:w="2461" w:type="dxa"/>
            <w:vAlign w:val="center"/>
          </w:tcPr>
          <w:p>
            <w:pPr>
              <w:autoSpaceDE w:val="0"/>
              <w:autoSpaceDN w:val="0"/>
              <w:adjustRightInd w:val="0"/>
              <w:jc w:val="center"/>
              <w:rPr>
                <w:rFonts w:ascii="Times New Roman" w:hAnsi="Times New Roman"/>
                <w:szCs w:val="21"/>
              </w:rPr>
            </w:pPr>
            <w:r>
              <w:rPr>
                <w:rFonts w:ascii="Times New Roman"/>
                <w:szCs w:val="21"/>
              </w:rPr>
              <w:t>是</w:t>
            </w:r>
          </w:p>
        </w:tc>
      </w:tr>
    </w:tbl>
    <w:p>
      <w:pPr>
        <w:jc w:val="left"/>
        <w:rPr>
          <w:rFonts w:ascii="Times New Roman" w:hAnsi="Times New Roman"/>
        </w:rPr>
      </w:pPr>
    </w:p>
    <w:p>
      <w:pPr>
        <w:jc w:val="left"/>
        <w:rPr>
          <w:rFonts w:ascii="宋体" w:hAnsi="宋体"/>
          <w:b/>
          <w:color w:val="000000"/>
          <w:kern w:val="0"/>
          <w:szCs w:val="21"/>
        </w:rPr>
      </w:pPr>
      <w:r>
        <w:rPr>
          <w:rFonts w:hint="eastAsia" w:ascii="宋体" w:hAnsi="宋体"/>
          <w:b/>
          <w:color w:val="000000"/>
          <w:kern w:val="0"/>
          <w:szCs w:val="21"/>
        </w:rPr>
        <w:t>2、其他需要提示的事项</w:t>
      </w:r>
    </w:p>
    <w:p>
      <w:pPr>
        <w:ind w:firstLine="420"/>
        <w:rPr>
          <w:rFonts w:hint="eastAsia" w:ascii="宋体" w:hAnsi="宋体"/>
          <w:color w:val="000000"/>
          <w:kern w:val="0"/>
          <w:szCs w:val="21"/>
          <w:lang w:val="en-US" w:eastAsia="zh-CN"/>
        </w:rPr>
      </w:pPr>
      <w:r>
        <w:rPr>
          <w:rFonts w:hint="eastAsia" w:ascii="宋体" w:hAnsi="宋体"/>
          <w:color w:val="000000"/>
          <w:kern w:val="0"/>
          <w:szCs w:val="21"/>
        </w:rPr>
        <w:t>（1）本基金恢复办理申购、转换转入及定投业务后，为保障基金平稳运作，本公司决定自2024年</w:t>
      </w:r>
      <w:r>
        <w:rPr>
          <w:rFonts w:ascii="宋体" w:hAnsi="宋体"/>
          <w:color w:val="000000"/>
          <w:kern w:val="0"/>
          <w:szCs w:val="21"/>
        </w:rPr>
        <w:t>6</w:t>
      </w:r>
      <w:r>
        <w:rPr>
          <w:rFonts w:hint="eastAsia" w:ascii="宋体" w:hAnsi="宋体"/>
          <w:color w:val="000000"/>
          <w:kern w:val="0"/>
          <w:szCs w:val="21"/>
        </w:rPr>
        <w:t>月</w:t>
      </w:r>
      <w:r>
        <w:rPr>
          <w:rFonts w:ascii="宋体" w:hAnsi="宋体"/>
          <w:color w:val="000000"/>
          <w:kern w:val="0"/>
          <w:szCs w:val="21"/>
        </w:rPr>
        <w:t>7</w:t>
      </w:r>
      <w:r>
        <w:rPr>
          <w:rFonts w:hint="eastAsia" w:ascii="宋体" w:hAnsi="宋体"/>
          <w:color w:val="000000"/>
          <w:kern w:val="0"/>
          <w:szCs w:val="21"/>
        </w:rPr>
        <w:t>日起对本基金</w:t>
      </w:r>
      <w:r>
        <w:rPr>
          <w:rFonts w:ascii="宋体" w:hAnsi="宋体"/>
          <w:color w:val="000000"/>
          <w:kern w:val="0"/>
          <w:szCs w:val="21"/>
        </w:rPr>
        <w:t>A</w:t>
      </w:r>
      <w:r>
        <w:rPr>
          <w:rFonts w:hint="eastAsia" w:ascii="宋体" w:hAnsi="宋体"/>
          <w:color w:val="000000"/>
          <w:kern w:val="0"/>
          <w:szCs w:val="21"/>
        </w:rPr>
        <w:t>类基金份额、</w:t>
      </w:r>
      <w:r>
        <w:rPr>
          <w:rFonts w:ascii="宋体" w:hAnsi="宋体"/>
          <w:color w:val="000000"/>
          <w:kern w:val="0"/>
          <w:szCs w:val="21"/>
        </w:rPr>
        <w:t>C</w:t>
      </w:r>
      <w:r>
        <w:rPr>
          <w:rFonts w:hint="eastAsia" w:ascii="宋体" w:hAnsi="宋体"/>
          <w:color w:val="000000"/>
          <w:kern w:val="0"/>
          <w:szCs w:val="21"/>
        </w:rPr>
        <w:t>类基金份额的大额申购（含定投）、大额转换转入业务进行限制，</w:t>
      </w:r>
      <w:r>
        <w:rPr>
          <w:rFonts w:hint="eastAsia" w:ascii="宋体" w:hAnsi="宋体"/>
          <w:color w:val="000000"/>
          <w:kern w:val="0"/>
          <w:szCs w:val="21"/>
          <w:lang w:val="en-US" w:eastAsia="zh-CN"/>
        </w:rPr>
        <w:t>具体为：</w:t>
      </w:r>
    </w:p>
    <w:p>
      <w:pPr>
        <w:ind w:firstLine="420"/>
        <w:rPr>
          <w:rFonts w:hint="eastAsia" w:ascii="宋体" w:hAnsi="宋体"/>
          <w:color w:val="000000"/>
          <w:kern w:val="0"/>
          <w:szCs w:val="21"/>
        </w:rPr>
      </w:pPr>
      <w:r>
        <w:rPr>
          <w:rFonts w:hint="eastAsia" w:ascii="宋体" w:hAnsi="宋体"/>
          <w:color w:val="000000"/>
          <w:kern w:val="0"/>
          <w:szCs w:val="21"/>
          <w:lang w:val="en-US" w:eastAsia="zh-CN"/>
        </w:rPr>
        <w:t>非个人投资者</w:t>
      </w:r>
      <w:r>
        <w:rPr>
          <w:rFonts w:hint="eastAsia" w:ascii="宋体" w:hAnsi="宋体"/>
          <w:color w:val="000000"/>
          <w:kern w:val="0"/>
          <w:szCs w:val="21"/>
        </w:rPr>
        <w:t>单日单个基金账户关于</w:t>
      </w:r>
      <w:r>
        <w:rPr>
          <w:rFonts w:hint="eastAsia" w:ascii="宋体" w:hAnsi="宋体"/>
          <w:color w:val="000000"/>
          <w:kern w:val="0"/>
          <w:szCs w:val="21"/>
          <w:lang w:val="en-US" w:eastAsia="zh-CN"/>
        </w:rPr>
        <w:t>本基金</w:t>
      </w:r>
      <w:r>
        <w:rPr>
          <w:rFonts w:hint="eastAsia" w:ascii="宋体" w:hAnsi="宋体"/>
          <w:color w:val="000000"/>
          <w:kern w:val="0"/>
          <w:szCs w:val="21"/>
        </w:rPr>
        <w:t>每一类基金份额单笔或多笔申请的累计金额应等于或低于</w:t>
      </w:r>
      <w:r>
        <w:rPr>
          <w:rFonts w:ascii="宋体" w:hAnsi="宋体"/>
          <w:color w:val="000000"/>
          <w:kern w:val="0"/>
          <w:szCs w:val="21"/>
        </w:rPr>
        <w:t>1000</w:t>
      </w:r>
      <w:r>
        <w:rPr>
          <w:rFonts w:hint="eastAsia" w:ascii="宋体" w:hAnsi="宋体"/>
          <w:color w:val="000000"/>
          <w:kern w:val="0"/>
          <w:szCs w:val="21"/>
        </w:rPr>
        <w:t>元，如单日单个基金账户关于任一类基金份额单笔或多笔申请的累计金额高于</w:t>
      </w:r>
      <w:r>
        <w:rPr>
          <w:rFonts w:ascii="宋体" w:hAnsi="宋体"/>
          <w:color w:val="000000"/>
          <w:kern w:val="0"/>
          <w:szCs w:val="21"/>
        </w:rPr>
        <w:t>1000</w:t>
      </w:r>
      <w:r>
        <w:rPr>
          <w:rFonts w:hint="eastAsia" w:ascii="宋体" w:hAnsi="宋体"/>
          <w:color w:val="000000"/>
          <w:kern w:val="0"/>
          <w:szCs w:val="21"/>
        </w:rPr>
        <w:t xml:space="preserve">元的，本基金管理人有权拒绝。 </w:t>
      </w:r>
    </w:p>
    <w:p>
      <w:pPr>
        <w:ind w:firstLine="420"/>
        <w:rPr>
          <w:rFonts w:hint="eastAsia" w:ascii="宋体" w:hAnsi="宋体"/>
          <w:color w:val="000000"/>
          <w:kern w:val="0"/>
          <w:szCs w:val="21"/>
        </w:rPr>
      </w:pPr>
      <w:r>
        <w:rPr>
          <w:rFonts w:hint="eastAsia" w:ascii="宋体" w:hAnsi="宋体"/>
          <w:color w:val="000000"/>
          <w:kern w:val="0"/>
          <w:szCs w:val="21"/>
          <w:lang w:val="en-US" w:eastAsia="zh-CN"/>
        </w:rPr>
        <w:t>个人投资者</w:t>
      </w:r>
      <w:r>
        <w:rPr>
          <w:rFonts w:hint="eastAsia" w:ascii="宋体" w:hAnsi="宋体"/>
          <w:color w:val="000000"/>
          <w:kern w:val="0"/>
          <w:szCs w:val="21"/>
        </w:rPr>
        <w:t>单日单个基金账户关于</w:t>
      </w:r>
      <w:r>
        <w:rPr>
          <w:rFonts w:hint="eastAsia" w:ascii="宋体" w:hAnsi="宋体"/>
          <w:color w:val="000000"/>
          <w:kern w:val="0"/>
          <w:szCs w:val="21"/>
          <w:lang w:val="en-US" w:eastAsia="zh-CN"/>
        </w:rPr>
        <w:t>本基金</w:t>
      </w:r>
      <w:r>
        <w:rPr>
          <w:rFonts w:hint="eastAsia" w:ascii="宋体" w:hAnsi="宋体"/>
          <w:color w:val="000000"/>
          <w:kern w:val="0"/>
          <w:szCs w:val="21"/>
        </w:rPr>
        <w:t>每一类基金份额单笔或多笔申请的累计金额应等于或低于</w:t>
      </w:r>
      <w:r>
        <w:rPr>
          <w:rFonts w:ascii="宋体" w:hAnsi="宋体"/>
          <w:color w:val="000000"/>
          <w:kern w:val="0"/>
          <w:szCs w:val="21"/>
        </w:rPr>
        <w:t>1000</w:t>
      </w:r>
      <w:r>
        <w:rPr>
          <w:rFonts w:hint="eastAsia" w:ascii="宋体" w:hAnsi="宋体"/>
          <w:color w:val="000000"/>
          <w:kern w:val="0"/>
          <w:szCs w:val="21"/>
          <w:lang w:val="en-US" w:eastAsia="zh-CN"/>
        </w:rPr>
        <w:t>0</w:t>
      </w:r>
      <w:r>
        <w:rPr>
          <w:rFonts w:hint="eastAsia" w:ascii="宋体" w:hAnsi="宋体"/>
          <w:color w:val="000000"/>
          <w:kern w:val="0"/>
          <w:szCs w:val="21"/>
        </w:rPr>
        <w:t>元，如单日单个基金账户关于任一类基金份额单笔或多笔申请的累计金额高于</w:t>
      </w:r>
      <w:r>
        <w:rPr>
          <w:rFonts w:ascii="宋体" w:hAnsi="宋体"/>
          <w:color w:val="000000"/>
          <w:kern w:val="0"/>
          <w:szCs w:val="21"/>
        </w:rPr>
        <w:t>1000</w:t>
      </w:r>
      <w:r>
        <w:rPr>
          <w:rFonts w:hint="eastAsia" w:ascii="宋体" w:hAnsi="宋体"/>
          <w:color w:val="000000"/>
          <w:kern w:val="0"/>
          <w:szCs w:val="21"/>
          <w:lang w:val="en-US" w:eastAsia="zh-CN"/>
        </w:rPr>
        <w:t>0</w:t>
      </w:r>
      <w:r>
        <w:rPr>
          <w:rFonts w:hint="eastAsia" w:ascii="宋体" w:hAnsi="宋体"/>
          <w:color w:val="000000"/>
          <w:kern w:val="0"/>
          <w:szCs w:val="21"/>
        </w:rPr>
        <w:t>元的，本基金管理人有权拒绝。</w:t>
      </w:r>
    </w:p>
    <w:p>
      <w:pPr>
        <w:ind w:firstLine="420" w:firstLineChars="200"/>
        <w:rPr>
          <w:rFonts w:ascii="宋体" w:hAnsi="宋体"/>
          <w:color w:val="000000"/>
          <w:kern w:val="0"/>
          <w:szCs w:val="21"/>
        </w:rPr>
      </w:pPr>
      <w:r>
        <w:rPr>
          <w:rFonts w:hint="eastAsia" w:ascii="宋体" w:hAnsi="宋体"/>
          <w:color w:val="000000"/>
          <w:kern w:val="0"/>
          <w:szCs w:val="21"/>
        </w:rPr>
        <w:t>（2）在本基金限制大额申购（含定投）和大额转换转入业务期间，其他业务照常办理。本基金恢复办理大额申购（含定投）和大额转换转入业务的具体时间将另行公告。</w:t>
      </w:r>
    </w:p>
    <w:p>
      <w:pPr>
        <w:ind w:firstLine="420"/>
        <w:rPr>
          <w:rFonts w:ascii="Times New Roman" w:hAnsi="Times New Roman"/>
          <w:szCs w:val="21"/>
        </w:rPr>
      </w:pPr>
      <w:r>
        <w:rPr>
          <w:rFonts w:hint="eastAsia" w:ascii="宋体" w:hAnsi="宋体"/>
          <w:color w:val="000000"/>
          <w:kern w:val="0"/>
          <w:szCs w:val="21"/>
        </w:rPr>
        <w:t>（3）如有疑问，请拨打本</w:t>
      </w:r>
      <w:r>
        <w:rPr>
          <w:rFonts w:ascii="Times New Roman"/>
          <w:szCs w:val="21"/>
        </w:rPr>
        <w:t>公司客户服务电话</w:t>
      </w:r>
      <w:r>
        <w:rPr>
          <w:rFonts w:ascii="Times New Roman" w:hAnsi="Times New Roman"/>
          <w:szCs w:val="21"/>
        </w:rPr>
        <w:t>400-888-8998，</w:t>
      </w:r>
      <w:r>
        <w:rPr>
          <w:rFonts w:ascii="Times New Roman"/>
          <w:szCs w:val="21"/>
        </w:rPr>
        <w:t>或至本公司网站</w:t>
      </w:r>
      <w:r>
        <w:rPr>
          <w:rFonts w:ascii="Times New Roman" w:hAnsi="Times New Roman"/>
          <w:szCs w:val="21"/>
        </w:rPr>
        <w:t>(www.lionfund.com.cn)</w:t>
      </w:r>
      <w:r>
        <w:rPr>
          <w:rFonts w:ascii="Times New Roman"/>
          <w:szCs w:val="21"/>
        </w:rPr>
        <w:t>获取相关信息。</w:t>
      </w:r>
    </w:p>
    <w:p>
      <w:pPr>
        <w:ind w:firstLine="420"/>
        <w:jc w:val="left"/>
        <w:rPr>
          <w:rFonts w:ascii="宋体" w:hAnsi="宋体"/>
          <w:color w:val="000000"/>
          <w:kern w:val="0"/>
          <w:szCs w:val="21"/>
        </w:rPr>
      </w:pPr>
      <w:r>
        <w:rPr>
          <w:rFonts w:hint="eastAsia" w:ascii="宋体" w:hAnsi="宋体"/>
          <w:color w:val="000000"/>
          <w:kern w:val="0"/>
          <w:szCs w:val="21"/>
        </w:rPr>
        <w:t>（4）本公告的有关内容在法律法规允许范围内由诺安基金管理有限公司负责解释。</w:t>
      </w:r>
    </w:p>
    <w:p>
      <w:pPr>
        <w:ind w:firstLine="420"/>
        <w:jc w:val="left"/>
        <w:rPr>
          <w:rFonts w:ascii="宋体" w:hAnsi="宋体"/>
          <w:color w:val="000000"/>
          <w:kern w:val="0"/>
          <w:szCs w:val="21"/>
        </w:rPr>
      </w:pPr>
    </w:p>
    <w:p>
      <w:pPr>
        <w:ind w:firstLine="420"/>
        <w:jc w:val="left"/>
        <w:rPr>
          <w:rFonts w:ascii="宋体" w:hAnsi="宋体"/>
          <w:b/>
          <w:color w:val="000000"/>
          <w:kern w:val="0"/>
          <w:szCs w:val="21"/>
        </w:rPr>
      </w:pPr>
      <w:r>
        <w:rPr>
          <w:rFonts w:hint="eastAsia" w:ascii="宋体" w:hAnsi="宋体"/>
          <w:b/>
          <w:color w:val="000000"/>
          <w:kern w:val="0"/>
          <w:szCs w:val="21"/>
        </w:rPr>
        <w:t>风险</w:t>
      </w:r>
      <w:r>
        <w:rPr>
          <w:rFonts w:ascii="宋体" w:hAnsi="宋体"/>
          <w:b/>
          <w:color w:val="000000"/>
          <w:kern w:val="0"/>
          <w:szCs w:val="21"/>
        </w:rPr>
        <w:t>提示：</w:t>
      </w:r>
    </w:p>
    <w:p>
      <w:pPr>
        <w:ind w:firstLine="420"/>
        <w:jc w:val="left"/>
        <w:rPr>
          <w:rFonts w:ascii="宋体" w:hAnsi="宋体"/>
          <w:color w:val="000000"/>
          <w:kern w:val="0"/>
          <w:szCs w:val="21"/>
        </w:rPr>
      </w:pPr>
      <w:r>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买者自负”原则，</w:t>
      </w:r>
      <w:r>
        <w:rPr>
          <w:szCs w:val="21"/>
        </w:rPr>
        <w:t>在做出投资决策后，基金运营状况与基金净值变化引致的投资风险，由投资者自行负担。</w:t>
      </w:r>
      <w:r>
        <w:rPr>
          <w:rFonts w:ascii="宋体"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pPr>
        <w:ind w:firstLine="420"/>
        <w:jc w:val="left"/>
        <w:rPr>
          <w:rFonts w:ascii="宋体" w:hAnsi="宋体"/>
          <w:color w:val="000000"/>
          <w:kern w:val="0"/>
          <w:szCs w:val="21"/>
        </w:rPr>
      </w:pPr>
    </w:p>
    <w:p>
      <w:pPr>
        <w:ind w:firstLine="420"/>
        <w:jc w:val="left"/>
        <w:rPr>
          <w:rFonts w:ascii="宋体" w:hAnsi="宋体"/>
          <w:color w:val="000000"/>
          <w:kern w:val="0"/>
          <w:szCs w:val="21"/>
        </w:rPr>
      </w:pPr>
      <w:r>
        <w:rPr>
          <w:rFonts w:hint="eastAsia" w:ascii="宋体" w:hAnsi="宋体"/>
          <w:color w:val="000000"/>
          <w:kern w:val="0"/>
          <w:szCs w:val="21"/>
        </w:rPr>
        <w:t>特此公告。</w:t>
      </w:r>
    </w:p>
    <w:p>
      <w:pPr>
        <w:ind w:firstLine="420"/>
        <w:jc w:val="left"/>
        <w:rPr>
          <w:rFonts w:ascii="宋体" w:hAnsi="宋体"/>
          <w:color w:val="000000"/>
          <w:kern w:val="0"/>
          <w:szCs w:val="21"/>
        </w:rPr>
      </w:pPr>
    </w:p>
    <w:p>
      <w:pPr>
        <w:ind w:firstLine="420"/>
        <w:jc w:val="right"/>
        <w:rPr>
          <w:rFonts w:ascii="Times New Roman" w:hAnsi="Times New Roman"/>
          <w:color w:val="000000"/>
          <w:kern w:val="0"/>
          <w:szCs w:val="21"/>
        </w:rPr>
      </w:pPr>
      <w:r>
        <w:rPr>
          <w:rFonts w:ascii="Times New Roman" w:hAnsi="Times New Roman"/>
          <w:color w:val="000000"/>
          <w:kern w:val="0"/>
          <w:szCs w:val="21"/>
        </w:rPr>
        <w:t>诺安基金管理有限公司</w:t>
      </w:r>
    </w:p>
    <w:p>
      <w:pPr>
        <w:wordWrap w:val="0"/>
        <w:ind w:firstLine="420"/>
        <w:jc w:val="right"/>
        <w:rPr>
          <w:rFonts w:ascii="Times New Roman" w:hAnsi="Times New Roman"/>
          <w:b/>
        </w:rPr>
      </w:pPr>
      <w:r>
        <w:rPr>
          <w:rFonts w:ascii="Times New Roman" w:hAnsi="Times New Roman"/>
          <w:color w:val="000000"/>
          <w:kern w:val="0"/>
          <w:szCs w:val="21"/>
        </w:rPr>
        <w:t>202</w:t>
      </w:r>
      <w:r>
        <w:rPr>
          <w:rFonts w:hint="eastAsia" w:ascii="Times New Roman" w:hAnsi="Times New Roman"/>
          <w:color w:val="000000"/>
          <w:kern w:val="0"/>
          <w:szCs w:val="21"/>
        </w:rPr>
        <w:t>4</w:t>
      </w:r>
      <w:r>
        <w:rPr>
          <w:rFonts w:ascii="Times New Roman" w:hAnsi="Times New Roman"/>
          <w:color w:val="000000"/>
          <w:kern w:val="0"/>
          <w:szCs w:val="21"/>
        </w:rPr>
        <w:t>年6月7日</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w:t>
      </w:r>
    </w:p>
    <w:sectPr>
      <w:headerReference r:id="rId3" w:type="default"/>
      <w:pgSz w:w="11906" w:h="16838"/>
      <w:pgMar w:top="1440" w:right="1800" w:bottom="1440" w:left="1800"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4D352B4-B511-47EF-9638-E1FB64669E8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646B8101-80DE-4126-9F63-079AB41D1C0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864995" cy="238125"/>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E0OGMzOGUyZTA1OTBmNWYyMjM3MzE3YjUxYzg1NjEifQ=="/>
  </w:docVars>
  <w:rsids>
    <w:rsidRoot w:val="004B6E1D"/>
    <w:rsid w:val="0000395B"/>
    <w:rsid w:val="00010A8F"/>
    <w:rsid w:val="00012093"/>
    <w:rsid w:val="00017E52"/>
    <w:rsid w:val="00031907"/>
    <w:rsid w:val="0003254F"/>
    <w:rsid w:val="00032DE5"/>
    <w:rsid w:val="0004282A"/>
    <w:rsid w:val="00046F0C"/>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17C5"/>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0E1C"/>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03C36"/>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D53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36569"/>
    <w:rsid w:val="009567B7"/>
    <w:rsid w:val="009653E9"/>
    <w:rsid w:val="00967858"/>
    <w:rsid w:val="009702E7"/>
    <w:rsid w:val="009704EA"/>
    <w:rsid w:val="009739A5"/>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A84"/>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4228"/>
    <w:rsid w:val="00FC0FDC"/>
    <w:rsid w:val="00FC19B1"/>
    <w:rsid w:val="00FC785E"/>
    <w:rsid w:val="00FC7880"/>
    <w:rsid w:val="00FD0D2B"/>
    <w:rsid w:val="00FD7E77"/>
    <w:rsid w:val="00FE1D89"/>
    <w:rsid w:val="00FE25BB"/>
    <w:rsid w:val="00FE4B02"/>
    <w:rsid w:val="00FE76DE"/>
    <w:rsid w:val="00FE7873"/>
    <w:rsid w:val="00FF1185"/>
    <w:rsid w:val="013A252F"/>
    <w:rsid w:val="072B71F3"/>
    <w:rsid w:val="0E3A5F83"/>
    <w:rsid w:val="187A3082"/>
    <w:rsid w:val="19F47D80"/>
    <w:rsid w:val="21694EBA"/>
    <w:rsid w:val="25E0576C"/>
    <w:rsid w:val="263535EA"/>
    <w:rsid w:val="26BD1EDD"/>
    <w:rsid w:val="2900484C"/>
    <w:rsid w:val="2C1764C2"/>
    <w:rsid w:val="398355B7"/>
    <w:rsid w:val="3A383CB2"/>
    <w:rsid w:val="440A0CCB"/>
    <w:rsid w:val="461B3733"/>
    <w:rsid w:val="471C3E9C"/>
    <w:rsid w:val="4C6158FC"/>
    <w:rsid w:val="4DDF4DE0"/>
    <w:rsid w:val="58450E0D"/>
    <w:rsid w:val="5C320DA4"/>
    <w:rsid w:val="60822B6A"/>
    <w:rsid w:val="62061005"/>
    <w:rsid w:val="6672290A"/>
    <w:rsid w:val="6EE113A4"/>
    <w:rsid w:val="717E112C"/>
    <w:rsid w:val="71E2790D"/>
    <w:rsid w:val="796E1A86"/>
    <w:rsid w:val="7A15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0"/>
    <w:autoRedefine/>
    <w:semiHidden/>
    <w:unhideWhenUsed/>
    <w:qFormat/>
    <w:uiPriority w:val="0"/>
    <w:pPr>
      <w:snapToGrid w:val="0"/>
      <w:jc w:val="left"/>
    </w:pPr>
    <w:rPr>
      <w:rFonts w:ascii="Times New Roman" w:hAnsi="Times New Roman"/>
      <w:sz w:val="18"/>
      <w:szCs w:val="20"/>
    </w:rPr>
  </w:style>
  <w:style w:type="table" w:styleId="7">
    <w:name w:val="Table Grid"/>
    <w:basedOn w:val="6"/>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footnote reference"/>
    <w:basedOn w:val="8"/>
    <w:autoRedefine/>
    <w:semiHidden/>
    <w:unhideWhenUsed/>
    <w:qFormat/>
    <w:uiPriority w:val="0"/>
    <w:rPr>
      <w:vertAlign w:val="superscript"/>
    </w:rPr>
  </w:style>
  <w:style w:type="character" w:customStyle="1" w:styleId="10">
    <w:name w:val="脚注文本 字符"/>
    <w:basedOn w:val="8"/>
    <w:link w:val="5"/>
    <w:autoRedefine/>
    <w:semiHidden/>
    <w:qFormat/>
    <w:uiPriority w:val="0"/>
    <w:rPr>
      <w:rFonts w:ascii="Times New Roman" w:hAnsi="Times New Roman" w:eastAsia="宋体" w:cs="Times New Roman"/>
      <w:sz w:val="18"/>
      <w:szCs w:val="20"/>
    </w:rPr>
  </w:style>
  <w:style w:type="character" w:customStyle="1" w:styleId="11">
    <w:name w:val="页眉 字符"/>
    <w:basedOn w:val="8"/>
    <w:link w:val="4"/>
    <w:autoRedefine/>
    <w:qFormat/>
    <w:uiPriority w:val="99"/>
    <w:rPr>
      <w:sz w:val="18"/>
      <w:szCs w:val="18"/>
    </w:rPr>
  </w:style>
  <w:style w:type="character" w:customStyle="1" w:styleId="12">
    <w:name w:val="页脚 字符"/>
    <w:basedOn w:val="8"/>
    <w:link w:val="3"/>
    <w:autoRedefine/>
    <w:qFormat/>
    <w:uiPriority w:val="99"/>
    <w:rPr>
      <w:sz w:val="18"/>
      <w:szCs w:val="18"/>
    </w:rPr>
  </w:style>
  <w:style w:type="character" w:customStyle="1" w:styleId="13">
    <w:name w:val="批注框文本 字符"/>
    <w:basedOn w:val="8"/>
    <w:link w:val="2"/>
    <w:autoRedefine/>
    <w:semiHidden/>
    <w:qFormat/>
    <w:uiPriority w:val="99"/>
    <w:rPr>
      <w:sz w:val="18"/>
      <w:szCs w:val="18"/>
    </w:rPr>
  </w:style>
  <w:style w:type="paragraph" w:customStyle="1" w:styleId="14">
    <w:name w:val="修订1"/>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Template>
  <Company>Microsoft</Company>
  <Pages>2</Pages>
  <Words>1207</Words>
  <Characters>1285</Characters>
  <Lines>8</Lines>
  <Paragraphs>2</Paragraphs>
  <TotalTime>5</TotalTime>
  <ScaleCrop>false</ScaleCrop>
  <LinksUpToDate>false</LinksUpToDate>
  <CharactersWithSpaces>1288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2021-03-29T10:36:00Z</dcterms:created>
  <dc:creator>huangj</dc:creator>
  <cp:lastModifiedBy>time</cp:lastModifiedBy>
  <cp:lastPrinted>2013-02-04T05:37:00Z</cp:lastPrinted>
  <dcterms:modified xsi:type="dcterms:W3CDTF">2024-06-06T00:33:49Z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2052-12.1.0.16929</vt:lpwstr>
  </property>
  <property fmtid="{D5CDD505-2E9C-101B-9397-08002B2CF9AE}" pid="6" name="ICV">
    <vt:lpwstr>EFAD793678CF4504A61ACEF78ED50199_12</vt:lpwstr>
  </property>
</Properties>
</file>