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汇添富中证光伏产业交易型开放式指数证券投资基金更新基金产品资料概要(2024年06月07日更新)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汇添富中证光伏产业ETF</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516290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中国建设银行股份有限公司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2021年08月09日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上海证券交易所</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2021年08月23日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董瑾</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2021年08月09日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2010年07月07日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场内简称：光伏基金；扩位证券简称：光伏龙头ETF。</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紧密跟踪标的指数，追求跟踪偏离度和跟踪误差的最小化。</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本基金的标的指数是中证光伏产业指数及其未来可能发生的变更。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标的指数成份股、备选成份股。为更好地实现投资目标，本基金可少量投资于非成份股（包括中小板、创业板及其他中国证监会允许上市的股票、存托凭证）、债券（包括国债、金融债、企业债、公司债、次级债、可交换债券、可转换债券、分离交易可转债、地方政府债、央行票据、中期票据、短期融资券（含超短期融资券）等）、资产支持证券、债券回购、银行存款、同业存单、货币市场工具、衍生工具（包括股指期货、国债期货、股票期权等）以及法律法规或中国证监会允许基金投资的其他金融工具(但须符合中国证监会相关规定)。本基金可根据法律法规的规定参与融资及转融通证券出借业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基金的投资组合比例为：投资于标的指数成份股和备选成份股的比例不得低于基金资产净值的90%，且不低于非现金基金资产的80%，因法律法规的规定而受限制的情形除外。</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采用完全复制法，即完全按照标的指数的成份股组成及其权重构建基金股票投资组合，并根据标的指数成份股及其权重的变化进行相应调整。但在因特殊情况（如流动性不足等）导致本基金无法有效复制和跟踪标的指数时，基金管理人将运用其他合理的投资方法构建本基金的实际投资组合，追求尽可能贴近目标指数的表现。本基金的投资策略主要包括：资产配置策略、债券投资策略、资产支持证券投资策略、可转债及可交换债投资策略、金融衍生工具投资策略、参与融资投资策略、参与转融通证券出借业务策略、存托凭证的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中证光伏产业指数收益率</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本基金属于股票型基金，其预期的风险与收益高于混合型基金、债券型基金与货币市场基金。同时本基金为指数基金，主要采用完全复制法跟踪标的指数表现，具有与标的指数相似的风险收益特征。</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76415587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518612"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投资者在申购基金份额时，申购赎回代理券商可按照不超过0.50%的标准收取佣金，其中包含证券交易所、登记机构等收取的相关费用。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投资者在赎回基金份额时，申购赎回代理券商可按照不超过0.50%的标准收取佣金，其中包含证券交易所、登记机构等收取的相关费用。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50000.00元/年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和仲裁费；基金份额持有人大会费用；基金的证券/期货等交易费用；基金的上市费；基金的开户费用、账户维护费用；基金的银行汇划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0.27%</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风险包括：市场风险、流动性风险、特有风险、管理风险、信用风险、操作或技术风险、合规性风险、本基金法律文件风险收益特征表述与销售机构基金风险评价可能不一致的风险、税负增加风险及其他风险。其中特有风险包括：1、标的指数回报与股票市场平均回报偏离的风险；2、标的指数波动的风险；3、基金投资组合回报与标的指数回报偏离的风险及跟踪误差未达约定目标的风险；4、标的指数变更的风险以及指数编制机构停止服务的风险；5、成份股停牌的风险； 6、基金份额二级市场交易价格折溢价的风险；7、参考IOPV决策和IOPV计算错误的风险；8、退市风险；9、投资者申购失败的风险；10、投资者赎回失败的风险；11、赎回对价的变现风险；12、退补现金替代方式的风险；13、套利风险；14、申购赎回清单差错风险；15、网下组合证券认购相关的风险；16、第三方机构服务的风险；17、基金投资资产支持证券的风险；18、股指期货、国债期货、股票期权等金融衍生品投资风险；19、基金参与融资与转融通证券出借业务的风险；20、存托凭证投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