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汇添富中盘价值精选混合型证券投资基金A类份额更新基金产品资料概要(2024年06月07日更新)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汇添富中盘价值精选混合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009548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汇添富中盘价值精选混合A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009548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交通银行股份有限公司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2020年07月08日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胡昕炜</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2020年07月08日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2011年07月11日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本基金采用自下而上的投资方法，以深入的基本面分析为立足点，精选中盘股中的优质上市公司，在科学严格管理风险的前提下，谋求基金资产的中长期稳健增值。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中小板、创业板及其他经中国证监会核准或注册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中盘型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中盘股中的优质上市公司。本基金的投资策略还包括：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中证700指数收益率*60%+恒生指数收益率(使用估值汇率折算)*20%+中债综合全价指数收益率*20%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本基金将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72054206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11863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包括证券组合费/交易征费/股份交收费/交易系统使用费/交易费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本基金的风险包括市场风险、管理风险、流动性风险、特有风险、本基金法律文件风险收益特征表述与销售机构基金风险评价可能不一致的风险、操作或技术风险、合规性风险和其他风险，其中特有风险包括：</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股指期货投资风险；（2）股票期权投资风险；（3）国债期货投资风险；（4）参与融资交易风险；（5）投资港股通标的的风险；（6）资产支持证券投资风险；（7）流通受限证券投资风险；（8）存托凭证投资风险；（9）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