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汇添富中证沪港深科技龙头指数型发起式证券投资基金A类份额更新基金产品资料概要(2024年06月07日更新)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汇添富中证沪港深科技龙头指数发起式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013093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汇添富中证沪港深科技龙头指数发起式A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013093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基金合同生效满三年之日（指自然日），若基金资产净值低于2亿元人民币的，本基金合同自动终止，且不得通过召开基金份额持有人大会延续基金合同期限。</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若将来本基金管理人推出同一标的指数的交易型开放式指数基金（ETF），则基金管理人在履行适当程序后可使本基金采取ETF联接基金模式并相应修改《基金合同》，届时无需召开基金份额持有人大会。</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本基金进行被动式指数化投资，紧密跟踪标的指数，追求跟踪偏离度和跟踪误差的最小化。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本基金的标的指数为中证沪港深科技龙头指数及其未来可能发生的变更。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更好地实现投资目标，基金还可投资于包括国内依法发行上市的股票（包括主板、创业板及其他经中国证监会允许上市的股票、存托凭证）、港股通标的股票、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相关规定）。本基金将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如法律法规或监管机构以后允许基金投资股指期权或其他品种，基金管理人在履行适当程序后，可以将其纳入投资范围。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的资产不低于基金资产的90%，投资于标的指数成份股、备选成份股的资产的比例不低于非现金基金资产的80%；每个交易日日终在扣除股指期货、国债期货和股票期权合约需缴纳的交易保证金后，现金或到期日在一年以内的政府债券的投资比例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被动式指数化投资方法，按照标的指数的成份股及其权重来构建基金的股票投资组合，并根据标的指数成份股及其权重的变动进行相应调整。本基金力争日均跟踪偏离度的绝对值不超过0.35%，年跟踪误差不超过4%。本基金的投资策略主要包括：股票投资策略、债券投资策略、资产支持证券投资策略、股指期货投资策略、国债期货投资策略、股票期权投资策略、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中证沪港深科技龙头指数收益率×95%+银行人民币活期存款利率（税后）×5%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2616445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8071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通过直销中心申购本基金A类基金份额的特定投资群体申购费率为每笔500元；未通过直销中心申购本基金A类基金份额的特定投资群体，申购费率参照非特定投资群体适用的A类基金份额的申购费率执行。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银行汇划费用、基金的开户费用、账户维护费用、因投资港股通标的股票而产生的各项合理费用，包括证券组合费、交易征费、股份交收费、交易系统使用费、交易费等、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0.76%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操作或技术风险、合规性风险、法律文件风险收益特征表述与销售机构基金风险评价可能不一致的风险、启用侧袋机制的风险及其他风险。其中特有风险包括：1、指数化投资风险（标的指数回报与股票市场平均回报偏离的风险、标的指数的流动性风险、标的指数波动的风险、基金投资组合回报与标的指数回报偏离的风险及跟踪误差未达约定目标的风险、标的指数变更的风险以及指数编制机构停止服务的风险、成份股停牌的风险）；2、股指期货、股票期权、国债期货等金融衍生品投资风险；3、基金参与融资与转融通证券出借业务的风险；4、基金投资资产支持证券的风险；5、基金投资港股通标的股票的风险；6、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