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汇添富中证800交易型开放式指数证券投资基金联接基金C类份额更新基金产品资料概要(2024年06月07日更新)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汇添富中证800ETF联接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012596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汇添富中证800ETF联接C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012597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平安银行股份有限公司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2021年09月29日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乐无穹</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合同中“目标ETF发生相关变更情形的处理方式”另有约定的除外。</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通过投资于目标ETF，紧密跟踪标的指数，追求跟踪偏离度和跟踪误差的最小化。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标的指数成份股和备选成份股。为更好地实现投资目标，基金还可投资于其他股票（包括中小板、创业板、存托凭证及其他经中国证监会允许上市的股票）、债券（包括国债、金融债券、企业债券、公司债券、央行票据、中期票据、短期融资券、超短期融资券、次级债券、政府支持债券、政府支持机构债券、地方政府债券、可交换债券、可转换债券（分离交易可转债）等）、资产支持证券、债券回购、同业存单、银行存款（包括定期存款、协议存款及其他银行存款）、货币市场工具、金融衍生工具（包括股指期货、国债期货、股票期权等）以及法律法规或中国证监会允许基金投资的其他金融工具（但须符合中国证监会的相关规定）。本基金可根据法律法规的规定参与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如法律法规或监管机构以后允许基金投资股指期权或其他品种，基金管理人在履行适当程序后，可以将其纳入投资范围。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目标ETF的比例不低于基金资产净值的90%，每个交易日日终在扣除股指期货、国债期货和股票期权合约需缴纳的交易保证金后，现金或到期日在一年以内的政府债券的投资比例不低于基金资产净值的5%，本基金所指的现金类资产范围不包括结算备付金、存出保证金、应收申购款等资金类别。</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本基金的标的指数为中证800指数及其未来可能发生的变更。</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方便特定的客户群通过本基金投资目标ETF。本基金不参与目标ETF的投资管理。为实现投资目标，本基金将以不低于基金资产净值90%的资产投资于目标ETF。在正常市场情况下，本基金力争净值增长率与业绩比较基准之间的日均跟踪偏离度的绝对值不超过0.35%，年跟踪误差不超过4%。如因指数编制规则调整或其他因素导致跟踪偏离度和跟踪误差超过上述范围，基金管理人应采取合理措施避免跟踪偏离度、跟踪误差进一步扩大。本基金的投资策略主要包括：资产配置策略，目标ETF的投资策略，成份股、备选成份股投资策略，债券投资策略，可转换债券投资策略，资产支持证券投资策略，金融衍生工具投资策略，转融通证券出借投资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本基金为中证800ETF的联接基金，预期风险与预期收益高于混合型基金、债券型基金与货币市场基金，本基金通过投资目标ETF，紧密跟踪标的指数，具有与标的指数相似的风险收益特征。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20744132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760774"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基金合同》生效后与基金相关的律师费/仲裁费/诉讼费、基金份额持有人大会费用、基金的证券/期货交易费用、基金的银行汇划费用、基金的开户费用、账户维护费用、按照国家有关规定和《基金合同》约定，可以在基金财产中列支的其他费用。2、本基金基金财产中投资于目标ETF的部分不收取管理费。本基金的管理费按前一日基金资产净值扣除所持有目标ETF份额所对应的资产净值后余额（若为负数，则取0）的0.15%年费率计提。3、本基金基金财产中投资于目标ETF的部分不收取托管费。本基金的托管费按前一日基金资产净值扣除所持有目标ETF份额所对应的资产净值后余额（若为负数，则取0）的0.05%的年费率计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0.39%</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基金财产中投资于目标ETF的部分不收取管理费和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管理风险、信用风险、操作或技术风险、合规性风险、特有风险、其他风险、税负增加风险、本基金法律文件风险收益特征表述与销售机构基金风险评价可能不一致的风险。其中特有风险包括：1、投资于目标ETF基金带来的风险；2、跟踪偏离风险；3、与目标ETF 业绩差异的风险；4、其他投资于目标ETF 的风险； 5、标的指数的风险；6、标的指数波动的风险；7、标的指数回报与股票市场平均回报偏离的风险；8、基金投资组合回报与标的指数回报偏离的风险；9、标的指数变更的风险以及指数编制机构停止服务的风险；10、成份股停牌的风险；11、基金投资资产支持证券的风险；12、股指期货、国债期货、股票期权等金融衍生品投资风险；13、基金参与融资与转融通证券出借业务的风险；14、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