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汇添富中证沪港深消费龙头指数型发起式证券投资基金C类份额更新基金产品资料概要(2024年06月07日更新)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汇添富中证沪港深消费龙头指数发起</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汇添富中证沪港深消费龙头指数发起C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董瑾</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基金合同生效满三年之日（指自然日），若基金规模低于2亿元人民币的，本基金合同自动终止，且不得通过召开基金份额持有人大会延续基金合同期限。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本基金的标的指数为中证沪港深消费龙头指数及其未来可能发生的变更。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基金还可投资于包括国内依法发行上市的股票（包括主板、创业板及其他经中国证监会允许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的资产不低于基金资产的90%，投资于标的指数成份股、备选成份股资产的比例不低于非现金基金资产的80%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本基金力争日均跟踪偏离度的绝对值不超过0.35%，年跟踪误差不超过4%。</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股票投资策略、债券投资策略、资产支持证券投资策略、股指期货投资策略、股票期权投资策略、融资投资策略、国债期货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中证沪港深消费龙头指数收益率×95%+银行人民币活期存款利率（税后）×5%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5275758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1692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0.95%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启用侧袋机制的风险、本基金法律文件风险收益特征表述与销售机构基金风险评价可能不一致的风险及其他风险。其中特有风险包括：1、指数化投资风险（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2、基金份额净值波动风险；3、股指期货、国债期货、股票期权等金融衍生品投资风险；4、基金参与融资与转融通证券出借业务的风险；5、存托凭证投资风险；6、基金投资资产支持证券的风险；7、基金投资港股通标的股票的风险；8、发起式基金的特有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