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汇添富中证500增强策略交易型开放式指数证券投资基金更新基金产品资料概要(2024年06月07日更新)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汇添富中证500增强策略ETF</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560950</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中国工商银行股份有限公司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2023年07月19日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上海证券交易所</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2023年07月31日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股票型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许一尊</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2023年07月19日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2010年07月01日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本基金认购代码：560953；场内简称：500增；扩位证券简称：500ETF增强。</w:t>
            </w:r>
          </w:p>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未来若出现标的指数不符合要求（因成份股价格波动等指数编制方法变动之外的因素致使标的指数不符合要求的情形除外）、指数编制机构退出等情形，基金管理人应当自该情形发生之日起十个工作日内向中国证监会报告并提出解决方案，如更换基金标的指数、转换运作方式、与其他基金合并、或者终止基金合同等，并在6个月内召集基金份额持有人大会进行表决，基金份额持有人大会未成功召开或就上述事项表决未通过的，基金合同终止。</w:t>
            </w:r>
          </w:p>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当本基金发生上海证券交易所相关规定所规定的因不再具备上市条件而被上海证券交易所终止上市的情形时，本基金可由增强策略交易型开放式指数基金变更为跟踪标的指数的非上市的开放式增强型指数基金，而无需召开基金份额持有人大会审议。</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本基金为股票型指数增强基金，在对标的指数进行有效跟踪的被动投资基础上，结合增强型的主动投资，进行积极的组合管理和风险控制，力求实现超越标的指数的业绩表现，追求基金资产的长期增值。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本基金的标的指数为中证500指数及其未来可能发生的变更。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内依法发行上市的股票（含主板、创业板及其他中国证监会允许上市的股票、存托凭证）、债券（包括国债、金融债、企业债、公司债、次级债、可交换债券、可转换债券、分离交易可转债、央行票据、中期票据、地方政府债券、政府支持债券、政府支持机构债券、短期融资券（含超短期融资券）等）、资产支持证券、债券回购、银行存款、同业存单、货币市场工具、衍生工具（包括股指期货、国债期货、股票期权等）以及法律法规或中国证监会允许基金投资的其他金融工具(但须符合中国证监会相关规定)。本基金可根据法律法规的规定参与融资及转融通证券出借业务。</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投资于股票的比例不低于基金资产的80%，投资于标的指数成份股和备选成份股的比例不得低于基金资产净值的80%，且不低于非现金基金资产的80%，因法律法规的规定而受限制的情形除外。</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采用指数增强型投资策略，结合深入的宏观面、基本面研究及数量化投资技术，在指数化投资基础上优化调整投资组合，力争控制本基金净值增长率与业绩比较基准之间的日均跟踪偏离度的绝对值不超过0.35%，年跟踪误差不超过6.5%，力求实现高于标的指数的投资收益和基金资产的长期增值。本基金的投资策略主要包括：资产配置策略；股票投资策略；债券投资策略；资产支持证券投资策略；金融衍生工具投资策略；参与融资投资策略；参与转融通证券出借业务策略；存托凭证的投资策略等。</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中证500指数收益率</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本基金属于股票型指数增强基金，其预期的风险与收益高于混合型基金、债券型基金与货币市场基金。</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方正仿宋简体"/>
          <w:iCs/>
          <w:szCs w:val="21"/>
        </w:rPr>
        <w:sectPr w:rsidSect="008D2884">
          <w:type w:val="continuous"/>
          <w:pgSz w:w="12240" w:h="15840"/>
          <w:pgMar w:top="1440" w:right="1800" w:bottom="1440" w:left="1800" w:header="720" w:footer="720" w:gutter="0"/>
          <w:cols w:space="720"/>
        </w:sectPr>
      </w:pPr>
      <w:r w:rsidRPr="00A02F78">
        <w:rPr>
          <w:rFonts w:ascii="宋体" w:eastAsia="宋体" w:hAnsi="宋体" w:cs="方正仿宋简体"/>
          <w:iCs/>
          <w:szCs w:val="21"/>
        </w:rPr>
        <w:t>无</w:t>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投资者在申购基金份额时，申购赎回代理券商可按照不超过0.50%的标准收取佣金，其中包含证券交易所、登记机构等收取的相关费用。</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投资者在赎回基金份额时，申购赎回代理券商可按照不超过0.50%的标准收取佣金，其中包含证券交易所、登记机构等收取的相关费用。</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0.8%</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0.1%</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45000.00元/年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80000.00元/年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仲裁费/诉讼费、基金份额持有人大会费用、基金的证券/期货等交易费用、基金的上市费、基金的银行汇划费用、基金的开户费用、账户维护费用、按照国家有关规定和《基金合同》约定，可以在基金财产中列支的其他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0.99%</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本基金的风险包括：市场风险、流动性风险、特有风险、管理风险、信用风险、操作或技术风险、合规性风险、本基金法律文件风险收益特征表述与销售机构基金风险评价可能不一致的风险、税负增加风险及其他风险。其中特有风险包括：1、增强策略失效风险；2、潜在抢先交易风险；3、基金投资组合收益率与标的指数收益率偏离的风险及跟踪误差未达约定目标的风险；4、基金投资组合收益率与股票市场平均收益率偏离的风险；5、标的指数变更的风险以及指数编制机构停止服务的风险；6、成份股停牌的风险；7、基金份额二级市场交易价格折溢价的风险；8、参考IOPV决策和IOPV计算错误的风险；9、退市风险；10、投资者申购失败的风险；11、投资者赎回失败的风险；12、赎回对价的变现风险；13、退补现金替代方式的风险；14、套利风险；15、申购赎回清单差错风险；16、网下组合证券认购相关的风险；17、基金收益分配后基金份额净值低于面值的风险；18、第三方机构服务的风险；19、基金投资资产支持证券的风险；20、股指期货、国债期货、股票期权等金融衍生品投资风险；21、基金参与融资与转融通证券出借业务的风险；22、存托凭证投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