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汇添富中证上海环交所碳中和交易型开放式指数证券投资基金更新基金产品资料概要(2024年06月07日更新)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汇添富中证上海环交所碳中和ETF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560060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场内简称：碳中和基；扩位证券简称：碳中和ETF；认购代码：560063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当本基金不再具备上市条件而被上海证券交易所终止上市的，本基金可由交易型开放式基金变更为跟踪标的指数的非上市的开放式指数基金，而无需召开基金份额持有人大会审议。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本基金的标的指数为中证上海环交所碳中和指数及其未来可能发生的变更。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标的指数的表现。本基金的投资策略主要包括：资产配置策略、债券投资策略、资产支持证券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中证上海环交所碳中和指数收益率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8580099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23627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