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汇添富中证500基本面增强指数型证券投资基金C类份额更新基金产品资料概要(2024年06月07日更新)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汇添富中证500基本面增强指数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012498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汇添富中证500基本面增强指数C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顾耀强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2004年07月01日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2024年06月05日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2011年08月19日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宋体"/>
          <w:iCs/>
          <w:color w:val="000000"/>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本基金为股票型指数增强基金，在对标的指数进行有效跟踪的被动投资基础上，通过基本面选股方法进行积极的组合管理和风险控制，力求实现超越标的指数的业绩表现。</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中小板、创业板及其他中国证监会允许上市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占基金资产的比例不低于80%，其中投资于标的指数成份股和备选成份股的资产占非现金基金资产的比例不低于80%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本基金的标的指数为中证500指数。</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中证500指数作为基金投资组合的标的指数，立足于深入的基本面分析，精选高质量证券组合，力争控制本基金净值增长率与业绩比较基准之间的日均跟踪偏离度的绝对值不超过0.5%，年跟踪误差不超过7.75%，以实现高于标的指数的投资收益和基金资产的长期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本基金的投资策略还包括：资产配置策略、债券投资策略、资产支持证券投资策略、股指期货投资策略、股票期权投资策略、融资及转融通证券出借业务投资策略、国债期货投资策略。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中证500指数收益率*95%+活期存款利率（税后）*5%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932201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8433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本基金指数许可使用费按前一日的基金资产净值的0.016%的年费率计提。本基金指数许可使用费的收取下限为每季度5万元，合计年下限为20万元，若计费期间不足一季度的，则根据实际天数按比例计算。</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2.57%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基金法律文件风险收益特征表述与销售机构基金风险评价可能不一致的风险、操作或技术风险、法律风险、启用侧袋机制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本基金参与转融通证券出借业务的风险；（10）基金投资资产支持证券的风险；（11）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本次更新主要涉及“产品概况”“投资本基金涉及的费用”章节。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