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汇添富中盘价值精选混合型证券投资基金C类份额更新基金产品资料概要(2024年06月07日更新)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汇添富中盘价值精选混合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009548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汇添富中盘价值精选混合C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009549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胡昕炜</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2020年07月08日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2011年07月11日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本基金采用自下而上的投资方法，以深入的基本面分析为立足点，精选中盘股中的优质上市公司，在科学严格管理风险的前提下，谋求基金资产的中长期稳健增值。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或注册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中盘型股票资产及存托凭证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中盘股中的优质上市公司。本基金的投资策略还包括：债券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中证700指数收益率*60%+恒生指数收益率(使用估值汇率折算)*20%+中债综合全价指数收益率*20%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9692531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27342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0.6%</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包括证券组合费/交易征费/股份交收费/交易系统使用费/交易费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2.00%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本基金的风险包括市场风险、管理风险、流动性风险、特有风险、本基金法律文件风险收益特征表述与销售机构基金风险评价可能不一致的风险、操作或技术风险、合规性风险和其他风险，其中特有风险包括：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股指期货投资风险；（2）股票期权投资风险；（3）国债期货投资风险；（4）参与融资交易风险；（5）投资港股通标的的风险；（6）资产支持证券投资风险；（7）流通受限证券投资风险；（8）存托凭证投资风险；（9）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