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汇添富中证100交易型开放式指数证券投资基金更新基金产品资料概要(2024年06月07日更新)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汇添富中证100ETF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159630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2022年10月20日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深圳证券交易所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2022年11月01日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晏阳</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2022年10月20日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2016年09月01日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本基金场内简称：A100ETF基金</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当本基金发生深圳证券交易所相关规定所规定的因不再具备上市条件而应当终止上市的情形时，本基金可由交易型开放式指数证券投资基金变更为跟踪标的指数的非上市的开放式指数基金，而无需召开基金份额持有人大会审议。</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本基金的标的指数为中证100指数及其未来可能发生的变更。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股、备选成份股。为更好地实现投资目标，本基金可少量投资于非成份股（包括主板、创业板及其他中国证监会允许上市的股票、存托凭证）、债券（包括国债、金融债、企业债、公司债、次级债、可交换债券、可转换债券、分离交易可转债、央行票据、中期票据、地方政府债券、政府支持债券、政府支持机构债券、短期融资券（含超短期融资券）等）、资产支持证券、债券回购、银行存款、同业存单、货币市场工具、衍生工具（包括股指期货、国债期货、股票期权等）以及法律法规或中国证监会允许基金投资的其他金融工具(但须符合中国证监会相关规定)。本基金可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基金的投资组合比例为：投资于标的指数成份股和备选成份股的比例不得低于基金资产净值的90%，且不低于非现金基金资产的80%，因法律法规的规定而受限制的情形除外。</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采用完全复制法，即完全按照标的指数的成份股组成及其权重构建基金股票投资组合，并根据标的指数成份股及其权重的变化进行相应调整。但在因特殊情况（如流动性不足等）导致本基金无法有效复制和跟踪标的指数时，基金管理人将运用其他合理的投资方法构建本基金的实际投资组合，追求尽可能贴近标的指数的表现。本基金力争日均跟踪偏离度的绝对值不超过0.2%，年跟踪误差不超过2%。如因标的指数编制规则调整等其他原因，导致基金跟踪偏离度和跟踪误差超过上述范围，基金管理人应采取合理措施，避免跟踪偏离度和跟踪误差的进一步扩大。本基金的投资策略主要包括：资产配置策略、债券投资策略、资产支持证券投资策略、金融衍生工具投资策略、参与融资投资策略、参与转融通证券出借业务策略、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中证100指数收益率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本基金属于股票型基金，其预期的风险与收益高于混合型基金、债券型基金与货币市场基金。同时本基金为指数基金，主要采用完全复制法跟踪标的指数表现，具有与标的指数相似的风险收益特征。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73879820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15592"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投资者在申购基金份额时，申购赎回代理券商可按照不超过0.50%的标准收取佣金，其中包含证券交易所、登记机构等收取的相关费用。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投资者在赎回基金份额时，申购赎回代理券商可按照不超过0.50%的标准收取佣金，其中包含证券交易所、登记机构等收取的相关费用。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基金的证券/期货等交易费用、基金的上市费、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0.27%</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流动性风险、特有风险、管理风险、信用风险、操作或技术风险、合规性风险、本基金法律文件风险收益特征表述与销售机构基金风险评价可能不一致的风险、税负增加风险及其他风险。其中特有风险包括：1、标的指数回报与股票市场平均回报偏离的风险;2、标的指数波动的风险;3、基金投资组合回报与标的指数回报偏离的风险及跟踪误差未达约定目标的风险;4、标的指数变更的风险以及指数编制机构停止服务的风险;5、成份股停牌的风险;6、基金份额二级市场交易价格折溢价的风险;7、参考IOPV决策和IOPV计算错误的风险;8、退市风险;9、投资者申购失败的风险;10、投资者赎回失败的风险;11、赎回对价的变现风险;12、退补现金替代方式的风险;13、套利风险;14、申购赎回清单差错风险;15、网下组合证券认购相关的风险;16、基金收益分配后基金份额净值低于面值的风险;17、第三方机构服务的风险;18、基金投资资产支持证券的风险;19、股指期货、国债期货、股票期权等金融衍生品投资风险;20、基金参与融资与转融通证券出借业务的风险;21、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