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汇添富中证沪港深科技龙头指数型发起式证券投资基金C类份额更新基金产品资料概要(2024年06月07日更新)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汇添富中证沪港深科技龙头指数发起式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013093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汇添富中证沪港深科技龙头指数发起式C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013094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基金合同生效满三年之日（指自然日），若基金资产净值低于2亿元人民币的，本基金合同自动终止，且不得通过召开基金份额持有人大会延续基金合同期限。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若将来本基金管理人推出同一标的指数的交易型开放式指数基金（ETF），则基金管理人在履行适当程序后可使本基金采取ETF联接基金模式并相应修改《基金合同》，届时无需召开基金份额持有人大会。</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本基金的标的指数为中证沪港深科技龙头指数及其未来可能发生的变更。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基金还可投资于包括国内依法发行上市的股票（包括主板、创业板及其他经中国证监会允许上市的股票、存托凭证）、港股通标的股票、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如法律法规或监管机构以后允许基金投资股指期权或其他品种，基金管理人在履行适当程序后，可以将其纳入投资范围。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资产不低于基金资产的90%，投资于标的指数成份股、备选成份股的资产的比例不低于非现金基金资产的80%；每个交易日日终在扣除股指期货、国债期货和股票期权合约需缴纳的交易保证金后，现金或到期日在一年以内的政府债券的投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本基金力争日均跟踪偏离度的绝对值不超过0.35%，年跟踪误差不超过4%。本基金的投资策略主要包括：股票投资策略、债券投资策略、资产支持证券投资策略、股指期货投资策略、国债期货投资策略、股票期权投资策略、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中证沪港深科技龙头指数收益率×95%+银行人民币活期存款利率（税后）×5%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1541726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96057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1.01%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操作或技术风险、合规性风险、法律文件风险收益特征表述与销售机构基金风险评价可能不一致的风险、启用侧袋机制的风险及其他风险。其中特有风险包括：1、指数化投资风险（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2、股指期货、股票期权、国债期货等金融衍生品投资风险；3、基金参与融资与转融通证券出借业务的风险；4、基金投资资产支持证券的风险；5、基金投资港股通标的股票的风险；6、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