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汇添富中证800交易型开放式指数证券投资基金联接基金A类份额更新基金产品资料概要(2024年06月07日更新)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汇添富中证800ETF联接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012596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汇添富中证800ETF联接A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012596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平安银行股份有限公司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合同中“目标ETF发生相关变更情形的处理方式”另有约定的除外。</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为更好地实现投资目标，基金还可投资于其他股票（包括中小板、创业板、存托凭证及其他经中国证监会允许上市的股票）、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的相关规定）。本基金可根据法律法规的规定参与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如法律法规或监管机构以后允许基金投资股指期权或其他品种，基金管理人在履行适当程序后，可以将其纳入投资范围。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股指期货、国债期货和股票期权合约需缴纳的交易保证金后，现金或到期日在一年以内的政府债券的投资比例不低于基金资产净值的5%，本基金所指的现金类资产范围不包括结算备付金、存出保证金、应收申购款等资金类别。</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本基金的标的指数为中证800指数及其未来可能发生的变更。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力争净值增长率与业绩比较基准之间的日均跟踪偏离度的绝对值不超过0.35%，年跟踪误差不超过4%。如因指数编制规则调整或其他因素导致跟踪偏离度和跟踪误差超过上述范围，基金管理人应采取合理措施避免跟踪偏离度、跟踪误差进一步扩大。本基金的投资策略主要包括：资产配置策略，目标ETF的投资策略，成份股、备选成份股投资策略，债券投资策略，可转换债券投资策略，资产支持证券投资策略，金融衍生工具投资策略，转融通证券出借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本基金为中证800ETF的联接基金，预期风险与预期收益高于混合型基金、债券型基金与货币市场基金，本基金通过投资目标ETF，紧密跟踪标的指数，具有与标的指数相似的风险收益特征。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169712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68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通过直销中心申购本基金A类基金份额的养老金客户申购费率为每笔500元；未通过直销中心申购本基金A类基金份额的养老金客户，申购费率参照非养老金客户适用的申购费率执行。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诉讼费、基金份额持有人大会费用、基金的证券/期货交易费用、基金的银行汇划费用、基金的开户费用、账户维护费用、按照国家有关规定和《基金合同》约定，可以在基金财产中列支的其他费用。2、本基金基金财产中投资于目标ETF的部分不收取管理费。本基金的管理费按前一日基金资产净值扣除所持有目标ETF份额所对应的资产净值后余额（若为负数，则取0）的0.15%年费率计提。3、本基金基金财产中投资于目标ETF的部分不收取托管费。本基金的托管费按前一日基金资产净值扣除所持有目标ETF份额所对应的资产净值后余额（若为负数，则取0）的0.05%的年费率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0.29%</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管理风险、信用风险、操作或技术风险、合规性风险、特有风险、其他风险、税负增加风险、本基金法律文件风险收益特征表述与销售机构基金风险评价可能不一致的风险。其中特有风险包括：1、投资于目标ETF基金带来的风险；2、跟踪偏离风险；3、与目标ETF 业绩差异的风险；4、其他投资于目标ETF 的风险； 5、标的指数的风险；6、标的指数波动的风险；7、标的指数回报与股票市场平均回报偏离的风险；8、基金投资组合回报与标的指数回报偏离的风险；9、标的指数变更的风险以及指数编制机构停止服务的风险；10、成份股停牌的风险；11、基金投资资产支持证券的风险；12、股指期货、国债期货、股票期权等金融衍生品投资风险；13、基金参与融资与转融通证券出借业务的风险；14、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