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汇添富中证2000交易型开放式指数证券投资基金更新基金产品资料概要(2024年06月07日更新)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汇添富中证2000ETF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159536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董瑾</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2023年12月12日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本基金场内简称：中证2000ETF添富。</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自指数编制机构停止标的指数的编制及发布至解决方案确定期间，基金管理人应按照指数编制机构提供的最近一个交易日的指数信息遵循基金份额持有人利益优先原则维持基金投资运作。</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当本基金发生深圳证券交易所相关规定所规定的因不再具备上市条件而应当终止上市的情形时，本基金可由交易型开放式指数证券投资基金变更为跟踪标的指数的非上市的开放式指数基金，而无需召开基金份额持有人大会审议。届时，基金管理人需制定基金终止上市后场内份额的处理规则、按照非上市的开放式指数基金调整相应的业务规则，并提前公告。</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本基金的标的指数为中证2000指数及其未来可能发生的变更。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创业板及其他中国证监会允许上市的股票、存托凭证）、债券（包括国债、央行票据、金融债、企业债、公司债、中期票据、短期融资券、超短期融资券、次级债券、政府支持债券、政府支持机构债券、地方政府债券、可交换债券、可转换债券（含分离交易可转债）及其他经中国证监会允许投资的债券）、资产支持证券、股指期货、国债期货、股票期权、债券回购、银行存款、同业存单、货币市场工具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本基金通过综合考虑标的指数成份股的流动性、投资限制、交易成本、交易限制等因素，可以选择采取完全复制法或抽样复制法构建基金的股票投资组合，以更好地实现跟踪标的指数的目的。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特殊情形下，基金管理人可采取包括成份股替代策略在内的其他指数投资技术适当调整基金投资组合，以达到紧密跟踪标的指数的目的。特殊情形包括但不限于以下情形：（1）法律法规的限制；（2）标的指数成份股流动性严重不足；（3）标的指数的成份股票长期停牌；（4）其它合理原因导致本基金管理人对标的指数的跟踪构成严重制约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本基金的投资策略主要包括：资产配置策略；债券投资策略；资产支持证券投资策略；金融衍生工具投资策略；参与融资投资策略；参与转融通证券出借业务策略；存托凭证的投资策略等。</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中证2000指数收益率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方正仿宋简体"/>
          <w:iCs/>
          <w:szCs w:val="21"/>
        </w:rPr>
        <w:sectPr w:rsidSect="008D2884">
          <w:type w:val="continuous"/>
          <w:pgSz w:w="12240" w:h="15840"/>
          <w:pgMar w:top="1440" w:right="1800" w:bottom="1440" w:left="1800" w:header="720" w:footer="720" w:gutter="0"/>
          <w:cols w:space="720"/>
        </w:sectPr>
      </w:pPr>
      <w:r w:rsidRPr="00A02F78">
        <w:rPr>
          <w:rFonts w:ascii="宋体" w:eastAsia="宋体" w:hAnsi="宋体" w:cs="方正仿宋简体"/>
          <w:iCs/>
          <w:szCs w:val="21"/>
        </w:rPr>
        <w:t>无</w:t>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银行汇划费用、基金的账户开户费用、账户维护费用、基金的上市费、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0.64%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本基金的特有风险、管理风险、信用风险、操作或技术风险、合规性风险、本基金法律文件风险收益特征表述与销售机构基金风险评价可能不一致的风险、税负增加风险及其他风险。其中本基金的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申赎处理规则带来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中国证监会对本基金募集的注册，并不表明其对本基金的投资价值和市场前景等作出实质性判断或保证，也不表明投资于本基金没有风险。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基金管理人依照恪尽职守、诚实信用、谨慎勤勉的原则管理和运用基金财产，但不保证投资于本基金一定盈利，也不保证最低收益。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