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汇添富中高等级信用债债券型证券投资基金E类份额更新基金产品资料概要(2024年06月07日更新)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汇添富中高等级信用债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011658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汇添富中高等级信用债E</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011660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徐一恒</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在科学严格管理风险的前提下，通过对中高等级信用债的积极投资，力争获得基金资产的长期稳健增长。</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占基金资产的比例不低于80%，其中投资于信用评级为AA+（含）以上信用债的比例不低于非现金基金资产的80%。每个交易日日终，在扣除国债期货合约需缴纳的交易保证金后，本基金持有的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指信用债包括金融债券（不包括政策性金融债）、企业债券、公司债券、中期票据、短期融资券、超短期融资券、次级债券、政府支持债券、政府支持机构债券、地方政府债券、可分离交易可转债的纯债部分等除国债、央行票据和政策性金融债之外的、非国家信用担保的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投资信用债时遵守以下约定：本基金主动投资于信用债的信用评级不低于AA+，上述信用评级为债项评级，短期融资券、超短期融资券等短期信用债的信用评级依照其主体评级。本基金持有信用债期间，如果其信用评级下降不再符合前述标准，应逐步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本基金投资策略具体包括：类属资产配置策略、利率策略、信用策略、期限结构配置策略、个券选择策略、资产支持证券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中债高信用等级债券财富指数收益率*95%+银行活期存款利率（税后）*5%。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本基金为债券型基金，预期收益和预期风险高于货币市场基金，低于混合型基金、股票型基金。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34734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30212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本基金E类基金份额不收取申购费用。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投资于债券资产占基金资产的比例不低于80%，其中投资于信用评级为AA+（含）以上信用债的比例不低于非现金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（2）国债期货投资风险：本基金的投资范围包括国债期货，国债期货的投资可能面临市场风险、基差风险、流动性风险。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（3）资产支持证券投资风险：本基金可投资资产支持证券，资产支持证券在国内市场尚处发展初期，具有低流动性、高收益的特征，并存在一定的投资风险。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