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汇添富中高等级信用债债券型证券投资基金C类份额更新基金产品资料概要(2024年06月07日更新)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汇添富中高等级信用债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011658</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汇添富中高等级信用债C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011659</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交通银行股份有限公司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2021年07月27日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债券型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徐一恒</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2021年07月27日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2010年07月01日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在科学严格管理风险的前提下，通过对中高等级信用债的积极投资，力争获得基金资产的长期稳健增长。</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债券（国债、央行票据、金融债券、企业债券、公司债券、中期票据、短期融资券、超短期融资券、次级债券、政府支持债券、政府支持机构债券、地方政府债券、可分离交易可转债的纯债部分及其他经中国证监会允许投资的债券）、资产支持证券、债券回购、同业存单、银行存款（包含协议存款、定期存款及其他银行存款）、货币市场工具、国债期货，以及法律法规或中国证监会允许投资的其他金融工具（但须符合中国证监会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本基金不投资于股票，也不投资于可转换债券（可分离交易可转债的纯债部分除外）、可交换债券。</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债券资产占基金资产的比例不低于80%，其中投资于信用评级为AA+（含）以上信用债的比例不低于非现金基金资产的80%。每个交易日日终，在扣除国债期货合约需缴纳的交易保证金后，本基金持有的现金或到期日在一年以内的政府债券不低于基金资产净值的5%；本基金所指的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所指信用债包括金融债券（不包括政策性金融债）、企业债券、公司债券、中期票据、短期融资券、超短期融资券、次级债券、政府支持债券、政府支持机构债券、地方政府债券、可分离交易可转债的纯债部分等除国债、央行票据和政策性金融债之外的、非国家信用担保的债券。</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在投资信用债时遵守以下约定：本基金主动投资于信用债的信用评级不低于AA+，上述信用评级为债项评级，短期融资券、超短期融资券等短期信用债的信用评级依照其主体评级。本基金持有信用债期间，如果其信用评级下降不再符合前述标准，应逐步卖出。</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如法律法规或中国证监会变更投资品种的投资比例限制，基金管理人在履行适当程序后，可以调整上述投资品种的投资比例。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将密切关注债券市场的运行状况与风险收益特征，分析宏观经济运行状况和金融市场运行趋势，自上而下决定类属资产配置及组合久期，并依据内部信用评级系统，深入挖掘价值被低估的标的券种。本基金采取的投资策略主要包括类属资产配置策略、利率策略、信用策略等。在谨慎投资的基础上，力争实现组合的稳健增值。本基金投资策略具体包括：类属资产配置策略、利率策略、信用策略、期限结构配置策略、个券选择策略、资产支持证券投资策略、国债期货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中债高信用等级债券财富指数收益率*95%+银行活期存款利率（税后）*5%。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本基金为债券型基金，预期收益和预期风险高于货币市场基金，低于混合型基金、股票型基金。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04707117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918468"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0.10%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本基金C类基金份额不收取申购费用。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0.3%</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0.3%</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70000.00元/年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和诉讼费、基金份额持有人大会费用、基金的证券/期货等交易费用、基金的银行汇划费用、基金的开户费用、账户维护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0.73%</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本基金的风险包括:市场风险、管理风险、流动性风险、特有风险、操作或技术风险、合规性风险、本基金法律文件风险收益特征表述与销售机构基金风险评价可能不一致的风险及其他风险。其中特有风险包括：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本基金投资于债券资产占基金资产的比例不低于80%，其中投资于信用评级为AA+（含）以上信用债的比例不低于非现金基金资产的80%。本基金需要承担由于市场利率波动造成的利率风险以及信用债的发债主体信用恶化造成的信用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（2）国债期货投资风险：本基金的投资范围包括国债期货，国债期货的投资可能面临市场风险、基差风险、流动性风险。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（3）资产支持证券投资风险：本基金可投资资产支持证券，资产支持证券在国内市场尚处发展初期，具有低流动性、高收益的特征，并存在一定的投资风险。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