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汇添富中证500指数型发起式证券投资基金(LOF)C类份额更新基金产品资料概要(2024年06月07日更新)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汇添富中证500指数(LOF)</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501036</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汇添富中证500指数(LOF)C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501037</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招商证券股份有限公司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2017年08月10日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上海证券交易所</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2017年10月09日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吴振翔</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2017年08月10日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2006年01月01日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场内简称：中证500C，扩位证券简称：中证500LOFC。</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本基金进行被动式指数化投资，紧密跟踪标的指数，追求跟踪偏离度和跟踪误差的最小化。</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本基金的标的指数为中证500指数。</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 xml:space="preserve">本基金主要投资于标的指数成份股、备选成份股。为更好地实现投资目标，基金还可投资于其他股票(包括中小板、创业板及其他经中国证监会核准上市的股票)、存托凭证、债券(包括国债、金融债券、企业债券、公司债券、央行票据、中期票据、短期融资券、超短期融资券、次级债券、政府支持债券、政府支持机构债券、地方政府债券、可交换债券、可转换债券(分离交易可转债)、中小企业私募债券等)、资产支持证券、债券回购、同业存单、银行存款(包括定期存款、协议存款及其他银行存款)、货币市场工具、金融衍生工具(包括股指期货、权证、国债期货、股票期权等)以及法律法规或中国证监会允许基金投资的其他金融工具(但须符合中国证监会的相关规定)。 本基金将根据法律法规的规定参与融资及转融通证券出借业务。 如法律法规或监管机构以后允许基金投资其他品种，基金管理人在履行适当程序后，可以将其纳入投资范围。 </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基金的投资组合比例为：本基金的股票资产及存托凭证投资比例不低于基金资产的 90%，其中投资于标的指数成份股和备选成份股的资产不低于非现金基金资产的 80%；每个交易日日终在扣除股指期货、国债期货和股票期权合约需缴纳的交易保证金后，现金或到期日在一年以内的政府债券的投资比例合计不低于基金资产净值的5%，本基金所指的现金不包括结算备付金、存出保证金、应收申购款等。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用被动式指数化投资方法，按照标的指数的成份股及其权重来构建基金的股票投资组合，并根据标的指数成份股及其权重的变动进行相应调整。当成份股发生配股、增发、分红等行为时，或因基金的申购和赎回等对本基金跟踪标的指数的效果可能带来影响时，或因某些特殊情况导致流动性不足时，或其他原因导致无法有效复制和跟踪标的指数时，基金管理人可以对投资组合管理进行适当变通和调整，以更好地实现本基金的投资目标。本基金力争日均跟踪偏离度的绝对值不超过 0.35%，年跟踪误差不超过 4%。本基金的投资策略主要包括：股票投资策略、固定收益类资产投资策略、金融衍生工具投资策略、融资及转融通投资策略、存托凭证的投资策略。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中证500指数收益率*95%+银行人民币活期存款利率(税后)*5%</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本基金属于股票型基金，其预期的风险与收益高于混合型基金、债券型基金与货币市场基金，为证券投资基金中较高风险、较高预期收益的品种。同时本基金为指数基金，具有与标的指数相似的风险收益特征。</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95281188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371232"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场外份额</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场外份额</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本基金C类份额不收取申购费用。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 类份额的场内赎回费率参照场外赎回费率执行。</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50000.00元/年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本基金指数许可使用费按前一日的基金资产净值的0.02%的年费率计提。本基金指数许可使用费的收取下限为每季度1万元，合计年下限为4万元，若计费期间不足一季度的，则根据实际天数按比例计算。</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和诉讼费；基金份额持有人大会费用；基金的证券、期货交易费用；基金的银行汇划费用；基金的上市费及年费；基金的开户费用、账户维护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0.86%</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指数许可使用费（若有）若适用固定费率的，使用现行费率直接计算；若已适用下限金额的，计算方法参照其他运作费用。</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的风险包括市场风险、管理风险、流动性风险、本基金的特有风险、操作或技术风险、合规性风险、其他风险，其中特有风险包括：1、指数化投资风险（包括：标的指数回报与股票市场平均回报偏离的风险、标的指数的流动性风险、标的指数波动的风险、基金投资组合回报与标的指数回报偏离的风险及跟踪误差未达约定目标的风险、标的指数变更的风险以及指数编制机构停止服务的风险、成份股停牌的风险）。2、作为发起式基金存在的提前终止风险。3、作为上市基金存在的风险。4、投资特定品种带来的风险，包括中小企业私募债券、资产支持证券、股指期货、股票期权、国债期货、参与融资与转融通业务、科创板股票、存托凭证等。5、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 xml:space="preserve">本基金的争议解决处理方式为仲裁。具体仲裁机构和仲裁地点详见基金合同的具体约定。 </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