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汇添富中证1000交易型开放式指数证券投资基金更新基金产品资料概要(2024年06月07日更新)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汇添富中证1000ETF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560110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中信银行股份有限公司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2022年07月29日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2022年08月08日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孙浩</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2024年02月07日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场内简称：ZZ1000；扩位证券简称：中证1000ETF基金；认购代码：560113</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当本基金发生上海证券交易所相关规定所规定的因不再具备上市条件而应当终止上市的情形时，本基金可由交易型开放式指数证券投资基金变更为跟踪标的指数的非上市的开放式指数基金，而无需召开基金份额持有人大会审议。</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本基金的标的指数为中证1000指数及其未来可能发生的变更。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为更好地实现投资目标，本基金可少量投资于非成份股（包括主板、创业板及其他中国证监会允许上市的股票、存托凭证）、债券（包括国债、金融债、企业债、公司债、次级债、可交换债券、可转换债券、分离交易可转债、央行票据、中期票据、地方政府债券、政府支持债券、政府支持机构债券、短期融资券（含超短期融资券）等）、资产支持证券、债券回购、银行存款、同业存单、货币市场工具、衍生工具（包括股指期货、国债期货、股票期权等）以及法律法规或中国证监会允许基金投资的其他金融工具(但须符合中国证监会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基金的投资组合比例为：投资于标的指数成份股和备选成份股的比例不得低于基金资产净值的90%，且不低于非现金基金资产的80%，因法律法规的规定而受限制的情形除外。</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完全复制法，即完全按照标的指数的成份股组成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标的指数的表现。本基金的投资策略主要包括：资产配置策略、债券投资策略、资产支持证券投资策略、金融衍生工具投资策略、参与融资投资策略、参与转融通证券出借业务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中证1000指数收益率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本基金属于股票型基金，其预期的风险与收益高于混合型基金、债券型基金与货币市场基金。同时本基金为指数基金，主要采用完全复制法跟踪标的指数表现，具有与标的指数相似的风险收益特征。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7125266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797047"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投资者在申购基金份额时，申购赎回代理券商可按照不超过0.50%的标准收取佣金，其中包含证券交易所、登记机构等收取的相关费用。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投资者在赎回基金份额时，申购赎回代理券商可按照不超过0.50%的标准收取佣金，其中包含证券交易所、登记机构等收取的相关费用。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费用、基金的上市费、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宋体"/>
          <w:bCs/>
          <w:iCs/>
          <w:color w:val="000000"/>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宋体"/>
          <w:iCs/>
          <w:color w:val="000000"/>
          <w:szCs w:val="21"/>
        </w:rPr>
        <w:sectPr w:rsidSect="00580B2D">
          <w:type w:val="continuous"/>
          <w:pgSz w:w="12240" w:h="15840"/>
          <w:pgMar w:top="1440" w:right="1800" w:bottom="1440" w:left="1800" w:header="720" w:footer="720" w:gutter="0"/>
          <w:cols w:space="720"/>
        </w:sectPr>
      </w:pPr>
      <w:r w:rsidRPr="004118E0">
        <w:rPr>
          <w:rFonts w:ascii="宋体" w:eastAsia="宋体" w:hAnsi="宋体" w:cs="宋体"/>
          <w:iCs/>
          <w:color w:val="000000"/>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信用风险、操作或技术风险、合规性风险、本基金法律文件风险收益特征表述与销售机构基金风险评价可能不一致的风险、税负增加风险及其他风险。其中特有风险包括：1、标的指数回报与股票市场平均回报偏离的风险；2、标的指数波动的风险；3、基金投资组合回报与标的指数回报偏离的风险及跟踪误差未达约定目标的风险；4、标的指数变更的风险以及指数编制机构停止服务的风险；5、成份股停牌的风险；6、基金份额二级市场交易价格折溢价的风险；7、参考IOPV决策和IOPV计算错误的风险；8、退市风险；9、投资者申购失败的风险；10、投资者赎回失败的风险；11、赎回对价的变现风险；12、退补现金替代方式的风险；13、套利风险；14、申购赎回清单差错风险；15、网下组合证券认购相关的风险；16、基金收益分配后基金份额净值低于面值的风险；17、第三方机构服务的风险；18、基金投资资产支持证券的风险；19、股指期货、国债期货、股票期权等金融衍生品投资风险；20、基金参与融资与转融通证券出借业务的风险；21、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