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汇添富中高等级信用债债券型证券投资基金A类份额更新基金产品资料概要(2024年06月07日更新)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汇添富中高等级信用债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011658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汇添富中高等级信用债A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011658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徐一恒</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在科学严格管理风险的前提下，通过对中高等级信用债的积极投资，力争获得基金资产的长期稳健增长。</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占基金资产的比例不低于80%，其中投资于信用评级为AA+（含）以上信用债的比例不低于非现金基金资产的80%。每个交易日日终，在扣除国债期货合约需缴纳的交易保证金后，本基金持有的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指信用债包括金融债券（不包括政策性金融债）、企业债券、公司债券、中期票据、短期融资券、超短期融资券、次级债券、政府支持债券、政府支持机构债券、地方政府债券、可分离交易可转债的纯债部分等除国债、央行票据和政策性金融债之外的、非国家信用担保的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投资信用债时遵守以下约定：本基金主动投资于信用债的信用评级不低于AA+，上述信用评级为债项评级，短期融资券、超短期融资券等短期信用债的信用评级依照其主体评级。本基金持有信用债期间，如果其信用评级下降不再符合前述标准，应逐步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投资策略具体包括：类属资产配置策略、利率策略、信用策略、期限结构配置策略、个券选择策略、资产支持证券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中债高信用等级债券财富指数收益率*95%+银行活期存款利率（税后）*5%。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本基金为债券型基金，预期收益和预期风险高于货币市场基金，低于混合型基金、股票型基金。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4347000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1764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通过直销中心申购本基金A类基金份额的特定投资群体申购费率为每笔500元。对于未通过直销中心申购本基金A类基金份额的特定投资群体，申购费率参照非特定投资群体适用的申购费率执行。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投资于债券资产占基金资产的比例不低于80%，其中投资于信用评级为AA+（含）以上信用债的比例不低于非现金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（2）国债期货投资风险：本基金的投资范围包括国债期货，国债期货的投资可能面临市场风险、基差风险、流动性风险。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（3）资产支持证券投资风险：本基金可投资资产支持证券，资产支持证券在国内市场尚处发展初期，具有低流动性、高收益的特征，并存在一定的投资风险。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