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汇添富远景成长一年持有期混合型证券投资基金A类份额更新基金产品资料概要(2024年06月07日更新)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汇添富远景成长一年持有混合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017608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汇添富远景成长一年持有混合A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017608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谢昌旭</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2012年07月02日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对每份基金份额设置1年的最短持有期限，即自基金合同生效日（对认购份额而言）、基金份额申购确认日（对申购份额而言）或基金份额转换转入确认日（对转换转入份额而言）起，至该日1年后的年度对日的期间内，投资者不能提出赎回申请；该日1年后的年度对日（含当日）之后，投资者可以提出赎回申请。若该日历年度实际不存在对应日期的，则顺延至该月最后一日的下一工作日，若该对应日期为非工作日，则顺延至下一工作日。</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以红利再投资方式取得的基金份额的持有到期时间与投资者原持有的基金份额最短持有期到期时间一致，因多笔认购、申购、转换转入导致原持有基金份额最短持有期到期时间不一致的，分别计算。</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本基金以基本面分析为立足点，在注重风险控制的前提下，精选优质个股，在严格控制风险和保持资产流动性的前提下，追求超越业绩比较基准的投资回报，力争实现基金资产的稳健增值。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股指期货、国债期货、股票期权、资产支持证券、债券回购、同业存单、银行存款（包含协议存款、定期存款及其他银行存款）、货币市场工具以及法律法规或中国证监会允许基金投资的其他金融工具（但须符合中国证监会相关规定）。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为60%-95%，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股票精选策略。资产配置策略用于确定大类资产配置比例以有效规避系统性风险，股票精选策略主要用于挖掘各行业中具备成长性的优质股票以获取超额收益。本基金的投资策略还包括债券投资策略、资产支持证券投资策略、可转债及可交换债投资策略、股指期货投资策略、股票期权投资策略、国债期货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中证800指数收益率×60%+恒生综合指数收益率（使用估值汇率折算）×20%+中债综合财富（总值）指数收益率×20%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通过本公司直销中心申购本基金A类基金份额的特定投资群体申购费用为每笔500元。未通过本公司直销中心申购本基金A类基金份额的特定投资群体，申购费率参照其他投资者适用的A类基金份额申购费率执行。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一年最短持有期，投资者在最短持有期到期日前将面临不能赎回的风险；9、启用侧袋机制的风险；10、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