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汇添富稳益60天持有期债券型证券投资基金C类份额更新基金产品资料概要(2024年06月07日更新)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汇添富稳益60天持有债券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018794</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汇添富稳益60天持有债券C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018795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中国邮政储蓄银行股份有限公司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最短持有期60天</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於乐其</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2024年01月19日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2014年10月20日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本基金暂不向金融机构自营账户销售，如未来本基金开放向金融机构自营账户公开销售或对销售对象的范围予以进一步限定，基金管理人将另行公告。</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债券（包括国债、央行票据、金融债券、企业债券、公司债券、中期票据、短期融资券、超短期融资券、次级债券、政府支持债券、政府支持机构债券、地方政府债券、可分离交易可转债的纯债部分及其他经中国证监会允许投资的债券）、国债期货、资产支持证券、债券回购、同业存单、银行存款（包含协议存款、定期存款及其他银行存款）、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中债总全价（1-3年）指数收益率*80%+银行一年期定期存款利率（税后）*20%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本基金属于债券型基金，其预期的风险与收益低于股票型基金、混合型基金，高于货币市场基金。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银行汇划费用；基金的账户开户费用、账户维护费用；基金的证券、期货等交易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税负增加风险、操作或技术风险、合规性风险、本基金法律文件风险收益特征表述与销售机构基金风险评价可能不一致的风险、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2、最短持有期到期日前不能赎回或转换转出的风险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3、国债期货投资风险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4、资产支持证券投资风险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5、启用侧袋机制的风险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