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汇添富优势精选混合型证券投资基金更新基金产品资料概要(2024年06月07日更新)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汇添富优势精选混合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519008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2005年08月25日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王栩</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2010年02月05日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2002年05月01日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本基金投资于具有持续竞争优势的企业,分享其在中国经济持续成长背景下的长期优异业绩,为基金份额持有人谋求长期稳定的投资回报。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主要包括国内依法发行、上市的股票、存托凭证、债券以及经中国证监会批准的允许基金投资的其他金融工具。本基金的股票投资对象主要是“持续竞争优势企业”。所谓持续竞争优势企业是指公司治理结构完善、管理层优秀,并在生产、技术、市场、政策环境等经营层面上具有一方面或多方面难以被竞争对手在短时间所模仿或超越的竞争优势的企业。具体来说,持续竞争优势企业具有以下五个基本特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1、持续竞争优势企业具有良好的公司治理结构,信息透明,注重公众股东利益和投资者关系,历史上没有发生过由公司治理结构带来的风险事件；</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2、持续竞争优势企业具有优秀的管理层,且企业的经营实绩证明管理层是精明能干、正直诚实、富有理性的；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3、持续竞争优势企业在生产、技术、市场、政策环境等经营层面上具有一方面或几方面竞争优势,而且,这种优势难以在短时间被竞争对手所模仿或超越；</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4、持续竞争优势企业的竞争优势与行业发展关键因素相契合,且其竞争优势能不断提升经营能力,强化其技术壁垒、市场占有率、品牌影响力等；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5、持续竞争优势企业财务状况稳健,主营业务收入、净利润等主要财务指标具有良好增长性。</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正常市场情况下,本基金投资于三类资产的比例范围为：股票及存托凭证40-95%,债券0-50%,权证0-3%,现金类资产不低于5%。持续竞争优势企业为股票及存托凭证主要投资对象,这类股票及存托凭证占股票及存托凭证资产净值的比例不低于80%。今后在有关法律法规许可时,本基金资产配置比例可作相应调整,股票资产投资比例可达到法律法规有关规定的限额。</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适度动态资产配置策略，同时运用汇添富持续竞争优势企业评估系统自下而上精选个股，并对投资组合进行积极而有效的风险管理。主要投资策略为：资产配置策略、股票投资策略、债券投资策略、权证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沪深300指数收益率*70%+上证国债指数收益率*30%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本基金是精选股票、并且进行积极风险控制的混合型基金，本基金的风险和预期收益比较均衡，在证券投资基金中属于风险适中的基金品种。</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44506025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11401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前端收费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申购费（后收费）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0年≤N&lt;1年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1年≤N&lt;2年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2年≤N&lt;3年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3年≤N&lt;4年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4年≤N&lt;5年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N≥5年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7天≤N&lt;365天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1年≤N&lt;2年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N≥2年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81000.00元/年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《基金合同》生效后与基金相关的律师费、基金份额持有人大会费用、基金的证券交易费用、银行汇划手续费等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的风险包括：市场风险、管理风险、流动性风险、特定风险、操作或技术风险、合规性风险、其他风险、投资科创板股票的风险、投资存托凭证的风险，其中特定风险为：本基金投资组合风险将主要来源于个股配置决策，在个股配置决策实施过程中，本基金会运用基金管理人持续优势竞争企业评估系统来选择投资标的。但随着中国经济结构的不断调整，以及中国参与国际化竞争程度的上升，中国上市公司竞争优势的变化也在不断加剧，这增加了对竞争优势可持续性的判断难度，进而波及基金业绩表现。本基金还可能面临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