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汇添富医疗积极成长一年持有期混合型证券投资基金A类份额更新基金产品资料概要(2024年06月07日更新)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汇添富医疗积极成长一年持有混合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009664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汇添富医疗积极成长一年持有混合A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009664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2020年08月21日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每份基金份额设置1年的最短持有期限</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郑磊</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2020年08月21日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本基金在科学严格管理风险的前提下，重点投资医疗行业积极成长型上市公司，谋求基金资产的中长期稳健增值。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或注册上市的股票）、港股通标的股票、存托凭证、债券（包括国债、央行票据、金融债券、企业债券、公司债券、中期票据、短期融资券、超短期融资券、次级债券、政府机构债券、地方政府债券、可交换债券、可转换债券（含分离交易可转债））、资产支持证券、债券回购、同业存单、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医疗积极成长主题资产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股票市场中与医疗积极成长相关的优质上市公司。本基金的投资策略还包括：债券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中证医疗指数收益率*70%+恒生医疗保健指数收益率*10%+中债综合全价指数收益率*20%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57549065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50809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交易费用、基金的银行汇划费用、基金的开户费用、账户维护费用、因投资港股通标的股票而产生的各项合理费用，包括证券组合费、交易征费、股份交收费、交易系统使用费、交易费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本基金的风险包括：市场风险、管理风险、流动性风险、特有风险、操作或技术风险、合规性风险、本基金法律文件风险收益特征表述与销售机构基金风险评价可能不一致的风险、其他风险等。</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其中特有风险主要包括：（1）股指期货投资风险。（2）股票期权投资风险。（3）国债期货投资风险。（4）参与融资交易风险。（5）投资港股通标的股票的风险。（6）资产支持证券投资风险。（7）流通受限证券投资风险。另外本基金设置一年最短持有期，投资者在最短持有期到期日前将面临不能赎回的风险。（8）存托凭证投资风险。（9）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