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汇添富盈润混合型证券投资基金C类份额更新基金产品资料概要(2024年06月07日更新)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汇添富盈润混合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004946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汇添富盈润混合C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004947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2017年09月06日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胡奕</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的投资范围为具有良好流动性的金融工具，包括国内依法发行上市的股票(含中小板、创业板及其他经中国证监会核准上市的股票)、存托凭证、债券(包括国债、央行票据、金融债券、企业债券、公司债券、中期票据、短期融资券、超短期融资券、次级债券、政府支持债券、政府支持机构债券、地方政府债券、可交换债券、中小企业私募债券、可转换债券(含分离交易可转债)及其他经中国证监会允许投资的债券)、资产支持证券、债券回购、同业存单、银行存款(包含协议存款、定期存款及其他银行存款)、货币市场工具、权证、股指期货、股票期权、国债期货以及法律法规或中国证监会允许基金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如法律法规或监管机构以后允许基金投资其他品种，基金管理人在履行适当程序后，可以将其纳入投资范围。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基金的投资组合比例为：本基金投资于债券、资产支持证券、债券回购、同业存单、银行存款、货币市场工具等固定收益类资产的比例不低于基金资产的60%，投资于股票及存托凭证、权证等权益类资产的比例不高于基金资产的 40%，每个交易日日终在扣除股指期货、国债期货和股票期权合约需缴纳的交易保证金后，现金或到期日在一年以内的政府债券的投资比例合计不低于基金资产净值的 5%。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本基金在保证资产配置符合基金合同规定的前提下，采用CPPI（Constant Proportion Portfolio Insurance）恒定比例组合保险策略来实现本金保值和增值的目标。CPPI策略主要根据市场的波动来调整、修正风险类资产的风险乘数，以确保投资组合在一段时间以后的价值不低于事先设定的某一目标价值，从而达到投资组合保值增值的目的。投资过程中，基金管理人将在风险类资产投资风险加大和收益增强这两者之间寻找适当的平衡点，即确定适当的风险乘数，力求既能够保证投资组合风险可控，又能够尽量地为投资者创造更多收益。</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本基金的投资策略主要包含资产配置策略、债券投资策略、股票投资策略、资产支持证券投资策略、金融衍生工具投资策略、融资投资策略。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中债综合指数收益率*80%+沪深300指数收益率*20%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本基金为混合型基金，其预期风险收益水平高于债券型基金及货币市场基金，低于股票型基金，属于中等收益风险特征的基金。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066147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37174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 C 类份额不收取申购费用。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《基金合同》生效后与基金相关的律师费和诉讼费；基金份额持有人大会费用；基金的证券、期货交易费用；基金的银行汇划费用；基金的开户费用、账户维护费用等。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1.76%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或技术风险、合规性风险、其他风险，其中特有风险包括：1、本基金可投资中小企业私募债券、股指期货、股票期权、国债期货，参与融资交易，投资标的所面临的风险可能会给基金净值带来一定的负面影响和损失。2、在基金合同生效后，连续六十个工作日出现基金份额持有人数量不满200人或者基金资产净值低于5000万元情形的，基金管理人将提前终止基金合同，因此，本基金存在基金合同终止风险。3、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4、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  5、本基金还可能面临启用侧袋机制的风险。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