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汇添富优势企业精选混合型证券投资基金C类份额更新基金产品资料概要(2024年06月07日更新)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汇添富优势企业精选混合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汇添富优势企业精选混合C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016173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李云鑫</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李灵毓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本基金采用自下而上的投资方法，以基本面分析为立足点，在科学严格管理风险的前提下，精选有竞争优势的上市公司，谋求基金资产的中长期稳健增值。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为挑选有竞争优势的上市公司，伴随上市公司共同成长，分享上市公司成长带来的红利。本基金主要投资策略为：1、资产配置策略；2、个股精选策略；3、债券投资策略；4、资产支持证券投资策略；5、股指期货投资策略；6、股票期权投资策略；7、融资投资策略；8、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9709377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4917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证券账户的开户费、账户维护费用；基金的证券/期货等交易费用；基金的银行汇划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2.13%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启用侧袋机制的风险、税负增加风险及其他风险等。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本基金可以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