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汇添富优势企业精选混合型证券投资基金A类份额更新基金产品资料概要(2024年06月07日更新)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汇添富优势企业精选混合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汇添富优势企业精选混合A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李云鑫</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2011年07月18日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李灵毓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2024年01月02日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本基金采用自下而上的投资方法，以基本面分析为立足点，在科学严格管理风险的前提下，精选有竞争优势的上市公司，谋求基金资产的中长期稳健增值。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为挑选有竞争优势的上市公司，伴随上市公司共同成长，分享上市公司成长带来的红利。本基金主要投资策略为：1、资产配置策略；2、个股精选策略；3、债券投资策略；4、资产支持证券投资策略；5、股指期货投资策略；6、股票期权投资策略；7、融资投资策略；8、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1449008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90494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500万元≤M&lt;1000万元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1个月≤N&lt;3个月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3个月≤N&lt;6个月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6个月≤N&lt;12个月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N≥12个月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通过本公司直销中心申购本基金A类基金份额的养老金客户申购费用为每笔500元。未通过本公司直销中心申购本基金A类基金份额的养老金客户，申购费率参照非养老金客户适用的A类基金份额申购费率执行。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证券账户的开户费、账户维护费用；基金的证券/期货等交易费用；基金的银行汇划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1.63%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启用侧袋机制的风险、税负增加风险及其他风险等。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股指期货投资风险；（2）股票期权投资风险；（3）国债期货投资风险；（4）参与融资交易风险；（5）本基金可以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