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汇添富移动互联股票型证券投资基金D类份额更新基金产品资料概要(2024年06月07日更新)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000697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2014年08月26日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2024年05月08日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自2022年3月7日起增设汇添富移动互联股票型证券投资基金C类、D类份额。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本基金采用自下而上的投资方法，以基本面分析为立足点，精选移动互联主题的优质上市公司，结合市场脉络，做中长期布局，在科学严格管理风险的前提下，谋求基金资产的中长期稳健增值。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未来若法律法规或监管机构允许基金投资同业存单的，本基金可在履行适当程序后参与同业存单的投资，具体投资比例限制按届时有效的法律法规和监管机构的规定执行。</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80%—95%；其余资产投资于债券、货币市场工具、股指期货、权证、资产支持证券、银行存款以及法律法规或中国证监会允许基金投资的其他金融工具。其中，基金持有全部权证的市值不得超过基金资产净值的3%；每个交易日日终在扣除股指期货保证金以后，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本基金以移动互联主题的上市公司股票及存托凭证为主要投资对象，投资于移动互联主题的上市公司股票及存托凭证的资产占非现金基金资产的比例不低于80%。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股票投资的主要策略包括资产配置策略和个股精选策略。其中，资产配置策略用于确定大类资产配置比例以有效规避系统性风险；个股精选策略用于发掘移动互联主题相关的上市公司中商业模式独特、竞争优势明显，具有长期持续增长模式、估值水平相对合理的优质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中证移动互联网指数*80%+中债综合指数*20%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044237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2484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启用侧袋机制的风险。其中特有风险具体如下：1、集中投资风险；2、其他投资风险；3、科创板股票投资的风险；4、存托凭证投资风险；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