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汇添富稳裕30天滚动持有债券型证券投资基金C类份额更新基金产品资料概要(2024年06月07日更新)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汇添富稳裕30天滚动持有债券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018422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汇添富稳裕30天滚动持有债券C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018423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华夏银行股份有限公司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2023年08月30日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30天的滚动持有期限，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何旻</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2023年08月30日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1998年07月01日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甘信宇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2023年12月18日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本基金暂不向金融机构自营账户销售，如未来本基金开放向金融机构自营账户公开销售或对销售对象的范围予以进一步限定，基金管理人将另行公告。</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流动性良好的金融工具，包括债券（国债、央行票据、金融债券、企业债券、公司债券、中期票据、短期融资券、超短期融资券、次级债券、政府支持债券、政府支持机构债券、地方政府债券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中债总全价（1-3年）指数收益率*80%+银行一年期定期存款利率（税后）*20%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公证费、仲裁费和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0.51%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单笔认购/申购存在30天的滚动持有期，因此本基金投资者将面临在运作期到期日前无法赎回的风险、错过当期运作期到期日未能赎回而进入下一运作期的风险、每份基金份额的实际运作期期限因周末、法定节假日影响或有不同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的销售对象为符合法律法规规定的可投资于证券投资基金的个人投资者、机构投资者、合格境外投资者以及法律法规或中国证监会允许购买证券投资基金的其他投资者。本基金暂不向金融机构自营账户销售，如未来本基金开放向金融机构自营账户公开销售或对销售对象的范围予以进一步限定，基金管理人将另行公告。本基金单一投资者单日认购/申购金额不超过1000万元（个人投资者及公募资产管理产品除外）。基金管理人可以调整单一投资者单日认购/申购金额上限，具体规定请参见更新的招募说明书或相关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