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汇添富鑫禧债券型证券投资基金更新基金产品资料概要(2024年06月07日更新)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汇添富鑫禧债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470030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2020年08月19日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2018年08月07日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在科学严格管理风险的前提下，本基金力争创造超越业绩比较基准的较高收益。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的投资范围为具有良好流动性的金融工具，包括债券（国债、央行票据、地方政府债、金融债、企业债、公司债、永续债、短期融资券、超短期融资券、中期票据、次级债、政府支持债券、政府支持机构债券）、资产支持证券、债券回购、银行存款、同业存单、货币市场工具以及法律法规或中国证监会允许基金投资的其他金融工具（但须符合中国证监会相关规定）。本基金不投资于股票，也不投资于可转换债券、可交换债券。如法律法规或监管机构以后允许基金投资其他品种，基金管理人在履行适当程序后，可以将其纳入投资范围。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本基金投资于债券资产的比例不低于基金资产的80%，本基金持有现金或到期日在一年以内的政府债券不低于基金资产净值的5%，本基金所指的现金不包括结算备付金、存出保证金、应收申购款等。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本基金的投资策略还包括：期限结构配置策略、个券选择策略、资产支持证券投资策略。 </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中债综合全价（总值）指数收益率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8714385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6692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《基金合同》生效后与基金相关的律师费和诉讼费、基金份额持有人大会费用、基金的证券/期货交易费用、基金的银行汇划费用、基金的开户费用、账户维护费用等费用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0.25%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本基金的风险包括：市场风险、管理风险、流动性风险、特有风险、操作或技术风险、合规性风险、其他风险。其中特有风险具体如下：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根据本基金投资范围的规定，本基金投资于债券资产的比例不低于基金资产的80%。本基金无法完全规避发债主体特别是公司债、企业债的发债主体的信用质量变化造成的信用风险。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（2）资产支持证券投资风险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以上所述因素可能会给本基金投资带来特殊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（3）永续债投资风险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1）利息递延支付的风险 2）发行人行使赎回选择权风险3）发行人行使续期选择权的风险4）会计政策变动风险5）债券利率风险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鑫禧债券型证券投资基金由汇添富理财30天债券型证券投资基金转型而来。自2020年8月19日起，《汇添富鑫禧债券型证券投资基金基金合同》生效，《汇添富理财30天债券型证券投资基金基金合同》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