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汇添富移动互联股票型证券投资基金A类份额更新基金产品资料概要(2024年06月07日更新)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汇添富移动互联股票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000697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汇添富移动互联股票A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000697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2014年08月26日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沈若雨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2024年05月08日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2011年11月14日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自2022年3月7日起增设汇添富移动互联股票型证券投资基金C类、D类份额。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本基金采用自下而上的投资方法，以基本面分析为立足点，精选移动互联主题的优质上市公司，结合市场脉络，做中长期布局，在科学严格管理风险的前提下，谋求基金资产的中长期稳健增值。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上市的股票）、存托凭证、债券、货币市场工具、股指期货、权证、资产支持证券、银行存款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未来若法律法规或监管机构允许基金投资同业存单的，本基金可在履行适当程序后参与同业存单的投资，具体投资比例限制按届时有效的法律法规和监管机构的规定执行。</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投资占基金资产的80%—95%；其余资产投资于债券、货币市场工具、股指期货、权证、资产支持证券、银行存款以及法律法规或中国证监会允许基金投资的其他金融工具。其中，基金持有全部权证的市值不得超过基金资产净值的3%；每个交易日日终在扣除股指期货保证金以后，基金保留的现金或投资于到期日在一年以内的政府债券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本基金以移动互联主题的上市公司股票及存托凭证为主要投资对象，投资于移动互联主题的上市公司股票及存托凭证的资产占非现金基金资产的比例不低于80%。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股票投资的主要策略包括资产配置策略和个股精选策略。其中，资产配置策略用于确定大类资产配置比例以有效规避系统性风险；个股精选策略用于发掘移动互联主题相关的上市公司中商业模式独特、竞争优势明显，具有长期持续增长模式、估值水平相对合理的优质上市公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本基金的投资策略还包括：债券投资策略、股指期货投资策略、权证投资策略、资产支持证券投资策略。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中证移动互联网指数*80%+中债综合指数*20%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本基金为股票型基金，属于证券投资基金中较高预期风险、较高预期收益的品种，其预期风险收益水平高于混合型基金、债券型基金及货币市场基金。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88864677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20269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81000.00元/年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《基金合同》生效后与基金相关的律师费/诉讼费、基金份额持有人大会费用、证券/期货交易费用、银行汇划费用、基金的开户费用、账户维护费用等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有风险、操作或技术风险、合规性风险、其他风险、启用侧袋机制的风险。其中特有风险具体如下：1、集中投资风险；2、其他投资风险；3、科创板股票投资的风险；4、存托凭证投资风险；5、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