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汇添富移动互联股票型证券投资基金C类份额更新基金产品资料概要(2024年06月07日更新)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000697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汇添富移动互联股票C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015198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2014年08月26日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2024年05月08日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自2022年3月7日起增设汇添富移动互联股票型证券投资基金C类、D类份额。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本基金采用自下而上的投资方法，以基本面分析为立足点，精选移动互联主题的优质上市公司，结合市场脉络，做中长期布局，在科学严格管理风险的前提下，谋求基金资产的中长期稳健增值。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未来若法律法规或监管机构允许基金投资同业存单的，本基金可在履行适当程序后参与同业存单的投资，具体投资比例限制按届时有效的法律法规和监管机构的规定执行。</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80%—95%；其余资产投资于债券、货币市场工具、股指期货、权证、资产支持证券、银行存款以及法律法规或中国证监会允许基金投资的其他金融工具。其中，基金持有全部权证的市值不得超过基金资产净值的3%；每个交易日日终在扣除股指期货保证金以后，基金保留的现金或投资于到期日在一年以内的政府债券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本基金以移动互联主题的上市公司股票及存托凭证为主要投资对象，投资于移动互联主题的上市公司股票及存托凭证的资产占非现金基金资产的比例不低于80%。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股票投资的主要策略包括资产配置策略和个股精选策略。其中，资产配置策略用于确定大类资产配置比例以有效规避系统性风险；个股精选策略用于发掘移动互联主题相关的上市公司中商业模式独特、竞争优势明显，具有长期持续增长模式、估值水平相对合理的优质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中证移动互联网指数*80%+中债综合指数*20%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3301798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646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《基金合同》生效后与基金相关的律师费/诉讼费、基金份额持有人大会费用、证券/期货交易费用、银行汇划费用、基金的开户费用、账户维护费用等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启用侧袋机制的风险。其中特有风险具体如下：1、集中投资风险；2、其他投资风险；3、科创板股票投资的风险；4、存托凭证投资风险；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