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汇添富医疗积极成长一年持有期混合型证券投资基金C类份额更新基金产品资料概要(2024年06月07日更新)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汇添富医疗积极成长一年持有混合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009664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汇添富医疗积极成长一年持有混合C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009665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每份基金份额设置1年的最短持有期限</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郑磊</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本基金在科学严格管理风险的前提下，重点投资医疗行业积极成长型上市公司，谋求基金资产的中长期稳健增值。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港股通标的股票、存托凭证、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医疗积极成长主题资产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与医疗积极成长相关的优质上市公司。本基金的投资策略还包括：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中证医疗指数收益率*70%+恒生医疗保健指数收益率*10%+中债综合全价指数收益率*20%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547038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59689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银行汇划费用、基金的开户费用、账户维护费用、因投资港股通标的股票而产生的各项合理费用，包括证券组合费、交易征费、股份交收费、交易系统使用费、交易费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本基金的风险包括：市场风险、管理风险、流动性风险、特有风险、操作或技术风险、合规性风险、本基金法律文件风险收益特征表述与销售机构基金风险评价可能不一致的风险、其他风险等。</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其中特有风险主要包括：（1）股指期货投资风险。（2）股票期权投资风险。（3）国债期货投资风险。（4）参与融资交易风险。（5）投资港股通标的股票的风险。（6）资产支持证券投资风险。（7）流通受限证券投资风险。另外本基金设置一年最短持有期，投资者在最短持有期到期日前将面临不能赎回的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