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汇添富现金宝货币市场基金B类份额更新基金产品资料概要(2024年06月07日更新)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000330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009588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货币市场基金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2022年05月09日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2023年03月15日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2020年7月2日起增设汇添富现金宝货币市场基金的B类和C类基金份额，且新增的B类基金份额和C类基金份额之间设置自动升降级规则，原有基金份额与新设份额之间不设置自动升降级规则</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在保持基金资产的低风险和高流动性的前提下，力争实现超越业绩比较基准的投资回报。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法律法规及监管机构允许投资的金融工具，包括现金，通知存款，短期融资券，一年以内(含一年)的银行定期存款、大额存单，期限在一年以内(含一年)的债券回购，期限在一年以内(含一年)的中央银行票据，剩余期限在397天以内(含397天)的债券、资产支持证券、中期票据，以及中国证监会及/或中国人民银行认可的其他具有良好流动性的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本基金将结合宏观分析和微观分析制定投资策略，力求在满足安全性、流动性需要的基础上实现更高的收益率。本基金具体投资策略包括：滚动配置策略，久期控制策略，套利策略，时机选择策略。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活期存款利率(税后)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本基金为货币市场证券投资基金,是证券投资基金中的低风险品种。本基金的预期风险和预期收益低于股票型基金、混合型基金、债券型基金。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588095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23095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本基金B类份额不收取申购费用。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常情况下，本基金不收取赎回费用，但当本基金前10名基金份额持有人的持有份额合计超过基金总份额50%，且本基金投资组合中现金、国债、中央银行票据、政策性金融债券以及5个交易日内到期的其他金融工具占基金资产净值的比例合计低于10%且偏离度为负时，为确保基金平稳运作，避免诱发系统性风险，基金管理人将对当日单个基金份额持有人申请赎回基金份额超过基金总份额1%以上的赎回申请（超过1%的部分）征收1%的强制赎回费用，并将上述赎回费用全额计入基金财产。基金管理人与基金托管人协商确认上述做法无益于基金利益最大化的情形除外。</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0.27%</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及其他风险。其中特有风险如下：本基金投资于货币市场工具，可能面临较高货币市场利率波动的系统性风险以及流动性风险。货币市场利率的波动会影响基金的再投资收益，并影响到基金资产公允价值的变动。同时为应对赎回进行资产变现时，可能会由于货币市场工具流动性不足而面临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