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汇添富现金宝货币市场基金A类份额更新基金产品资料概要(2024年06月07日更新)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000330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000330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货币市场基金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2022年05月09日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2023年03月15日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在保持基金资产的低风险和高流动性的前提下，力争实现超越业绩比较基准的投资回报。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法律法规及监管机构允许投资的金融工具，包括现金，通知存款，短期融资券，一年以内(含一年)的银行定期存款、大额存单，期限在一年以内(含一年)的债券回购，期限在一年以内(含一年)的中央银行票据，剩余期限在397天以内(含397天)的债券、资产支持证券、中期票据，以及中国证监会及/或中国人民银行认可的其他具有良好流动性的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本基金将结合宏观分析和微观分析制定投资策略，力求在满足安全性、流动性需要的基础上实现更高的收益率。本基金具体投资策略包括：滚动配置策略，久期控制策略，套利策略，时机选择策略。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活期存款利率(税后)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本基金为货币市场证券投资基金,是证券投资基金中的低风险品种。本基金的预期风险和预期收益低于股票型基金、混合型基金、债券型基金。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9169696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0948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常情况下，本基金不收取赎回费用，但当本基金前10名基金份额持有人的持有份额合计超过基金总份额50%，且本基金投资组合中现金、国债、中央银行票据、政策性金融债券以及5个交易日内到期的其他金融工具占基金资产净值的比例合计低于10%且偏离度为负时，为确保基金平稳运作，避免诱发系统性风险，基金管理人将对当日单个基金份额持有人申请赎回基金份额超过基金总份额1%以上的赎回申请（超过1%的部分）征收1%的强制赎回费用，并将上述赎回费用全额计入基金财产。基金管理人与基金托管人协商确认上述做法无益于基金利益最大化的情形除外。</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0.27%</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《基金合同》生效后与基金相关的律师费/诉讼费、基金份额持有人大会费用、证券交易费用、银行汇划费用等费用。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0.57%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或技术风险、合规性风险及其他风险。其中特有风险如下：本基金投资于货币市场工具，可能面临较高货币市场利率波动的系统性风险以及流动性风险。货币市场利率的波动会影响基金的再投资收益，并影响到基金资产公允价值的变动。同时为应对赎回进行资产变现时，可能会由于货币市场工具流动性不足而面临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