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汇添富鑫享添利六个月持有期混合型证券投资基金C类份额更新基金产品资料概要(2024年06月07日更新)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汇添富鑫享添利六个月持有混合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012951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汇添富鑫享添利六个月持有混合C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012952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中信银行股份有限公司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最短持有期六个月</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吴江宏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比例为0-30%（其中投资于港股通标的股票的比例不超过股票资产及存托凭证投资的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在严格控制风险的前提下，采用科学的资产配置策略和“自下而上”的精选个券策略，定量与定性分析相结合，力争实现基金资产的长期稳定回报。本基金主要策略包括资产配置策略、债券投资策略、股票投资策略、资产支持证券投资策略、国债期货投资策略、股指期货投资策略、股票期权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中债新综合（财富）指数收益率×90%+沪深300指数收益率×8%+中证港股通综合指数收益率×2%</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7112688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2905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1.12%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操作或技术风险、合规性风险、本基金法律文件风险收益特征表述与销售机构基金风险评价可能不一致的风险及其他风险等。其中特有风险包括：（1）股指期货投资风险；（2）股票期权投资风险；（3）国债期货投资风险；（4）参与融资交易风险；（5）投资港股通标的股票的投资风险；（6）资产支持证券投资风险；（7）流通受限证券投资风险；（8）存托凭证投资风险。以上所述因素可能会给本基金投资带来特殊交易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