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汇添富现金宝货币市场基金C类份额更新基金产品资料概要(2024年06月07日更新)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汇添富现金宝货币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000330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汇添富现金宝货币C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009589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2013年09月12日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货币市场基金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徐寅喆</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2022年05月09日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2008年09月01日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2023年03月15日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2012年03月01日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2020年7月2日起增设汇添富现金宝货币市场基金的B类和C类基金份额，且新增的B类基金份额和C类基金份额之间设置自动升降级规则，原有基金份额与新设份额之间不设置自动升降级规则</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在保持基金资产的低风险和高流动性的前提下，力争实现超越业绩比较基准的投资回报。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法律法规及监管机构允许投资的金融工具，包括现金，通知存款，短期融资券，一年以内(含一年)的银行定期存款、大额存单，期限在一年以内(含一年)的债券回购，期限在一年以内(含一年)的中央银行票据，剩余期限在397天以内(含397天)的债券、资产支持证券、中期票据，以及中国证监会及/或中国人民银行认可的其他具有良好流动性的金融工具。</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本基金将结合宏观分析和微观分析制定投资策略，力求在满足安全性、流动性需要的基础上实现更高的收益率。本基金具体投资策略包括：滚动配置策略，久期控制策略，套利策略，时机选择策略。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活期存款利率(税后)</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本基金为货币市场证券投资基金,是证券投资基金中的低风险品种。本基金的预期风险和预期收益低于股票型基金、混合型基金、债券型基金。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1367754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89258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常情况下，本基金不收取赎回费用，但当本基金前10名基金份额持有人的持有份额合计超过基金总份额50%，且本基金投资组合中现金、国债、中央银行票据、政策性金融债券以及5个交易日内到期的其他金融工具占基金资产净值的比例合计低于10%且偏离度为负时，为确保基金平稳运作，避免诱发系统性风险，基金管理人将对当日单个基金份额持有人申请赎回基金份额超过基金总份额1%以上的赎回申请（超过1%的部分）征收1%的强制赎回费用，并将上述赎回费用全额计入基金财产。基金管理人与基金托管人协商确认上述做法无益于基金利益最大化的情形除外。</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0.27%</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《基金合同》生效后与基金相关的律师费/诉讼费、基金份额持有人大会费用、证券交易费用、银行汇划费用等费用。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0.33%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操作或技术风险、合规性风险及其他风险。其中特有风险如下：本基金投资于货币市场工具，可能面临较高货币市场利率波动的系统性风险以及流动性风险。货币市场利率的波动会影响基金的再投资收益，并影响到基金资产公允价值的变动。同时为应对赎回进行资产变现时，可能会由于货币市场工具流动性不足而面临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