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汇添富盈润混合型证券投资基金A类份额更新基金产品资料概要(2024年06月07日更新)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汇添富盈润混合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004946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汇添富盈润混合A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004946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胡奕</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国内依法发行上市的股票(含中小板、创业板及其他经中国证监会核准上市的股票)、存托凭证、债券(包括国债、央行票据、金融债券、企业债券、公司债券、中期票据、短期融资券、超短期融资券、次级债券、政府支持债券、政府支持机构债券、地方政府债券、可交换债券、中小企业私募债券、可转换债券(含分离交易可转债)及其他经中国证监会允许投资的债券)、资产支持证券、债券回购、同业存单、银行存款(包含协议存款、定期存款及其他银行存款)、货币市场工具、权证、股指期货、股票期权、国债期货以及法律法规或中国证监会允许基金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基金的投资组合比例为：本基金投资于债券、资产支持证券、债券回购、同业存单、银行存款、货币市场工具等固定收益类资产的比例不低于基金资产的60%，投资于股票及存托凭证、权证等权益类资产的比例不高于基金资产的 40%，每个交易日日终在扣除股指期货、国债期货和股票期权合约需缴纳的交易保证金后，现金或到期日在一年以内的政府债券的投资比例合计不低于基金资产净值的 5%。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本基金在保证资产配置符合基金合同规定的前提下，采用CPPI（Constant Proportion Portfolio Insurance）恒定比例组合保险策略来实现本金保值和增值的目标。CPPI策略主要根据市场的波动来调整、修正风险类资产的风险乘数，以确保投资组合在一段时间以后的价值不低于事先设定的某一目标价值，从而达到投资组合保值增值的目的。投资过程中，基金管理人将在风险类资产投资风险加大和收益增强这两者之间寻找适当的平衡点，即确定适当的风险乘数，力求既能够保证投资组合风险可控，又能够尽量地为投资者创造更多收益。</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本基金的投资策略主要包含资产配置策略、债券投资策略、股票投资策略、资产支持证券投资策略、金融衍生工具投资策略、融资投资策略。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中债综合指数收益率*80%+沪深300指数收益率*20%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本基金为混合型基金，其预期风险收益水平高于债券型基金及货币市场基金，低于股票型基金，属于中等收益风险特征的基金。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3981539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0714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其他风险，其中特有风险包括：1、本基金可投资中小企业私募债券、股指期货、股票期权、国债期货，参与融资交易，投资标的所面临的风险可能会给基金净值带来一定的负面影响和损失。2、在基金合同生效后，连续六十个工作日出现基金份额持有人数量不满200人或者基金资产净值低于5000万元情形的，基金管理人将提前终止基金合同，因此，本基金存在基金合同终止风险。3、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4、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5、本基金还可能面临启用侧袋机制的风险。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