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汇添富稳安三个月持有期债券型证券投资基金E类份额更新基金产品资料概要(2024年06月07日更新)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015853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汇添富稳安三个月持有债券E</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015855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每份基金份额设置三个月的最短持有期限，即自基金合同生效日（对认购份额而言）、基金份额申购确认日（对申购份额而言）或基金份额转换转入确认日（对转换转入份额而言）起，至该日三个月后的月度对日的期间内，投资者不能提出赎回申请；该日三个月后的月度对日（含当日）之后，投资者可以提出赎回申请。若该月度对日为非工作日，则顺延至下一个工作日，若该日历月度中不存在对应日期的，则顺延至该月最后一日的下一工作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杨靖</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2022年07月04日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2012年06月28日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本基金不投资于股票资产，因所持可转换债券与可交换债券转股或换股形成的股票等，应在可流通交易的10个交易日内卖出。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可转换债券和可交换债券投资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76544109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30568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本基金E类基金份额不收取申购费用。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本基金E类基金份额不收取赎回费用。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0.37%</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（2）本基金可投资国债期货、资产支持证券、流通受限证券、可交换债券及可转换债券，因此本基金将面临投资上述投资标的的风险。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3）由于本基金特殊运作方式的安排，投资者的每份基金份额设置三个月的最短持有期，在最短持有期内基金份额持有人不能提出赎回申请，最短持有期届满后方可提出赎回申请。因此本基金投资者将面临在最短持有期到期日前无法赎回的风险、集中赎回的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