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汇添富碳中和主题混合型证券投资基金C类份额更新基金产品资料概要(2024年06月07日更新)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汇添富碳中和主题混合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013147</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汇添富碳中和主题混合C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013148</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2021年09月14日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赵剑</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2021年09月14日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2009年09月09日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刘昇</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2023年12月26日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2016年08月27日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本基金在科学严格管理风险的前提下，重点投资于碳中和主题相关上市公司，力争实现基金资产的中长期稳健增值。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主板、创业板及其他经中国证监会核准或注册上市的股票、存托凭证）、港股通标的股票、债券（包括国债、央行票据、金融债券、企业债券、公司债券、中期票据、短期融资券、超短期融资券、次级债券、政府机构债券、地方政府债券、可交换债券、可转换债券（含分离交易可转债））、资产支持证券、债券回购、同业存单、银行存款、货币市场工具、股指期货、股票期权、国债期货以及法律法规或中国证监会允许基金投资的其他金融工具（但须符合中国证监会相关规定）。本基金还可根据法律法规参与融资。</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股票资产占基金资产的比例不低于60%（其中投资于港股通标的股票的比例不超过股票资产的50%）；每个交易日日终在扣除股指期货、国债期货和股票期权合约需缴纳的交易保证金后，本基金保留的现金或投资于到期日在一年以内的政府债券的比例合计不低于基金资产净值的5%，其中现金不包括结算备付金、存出保证金、应收申购款等。本基金投资于的碳中和主题股票资产比例不低于非现金基金资产的80%。</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投资策略主要包括资产配置策略和个股精选策略。其中，资产配置策略用于确定大类资产配置比例以有效规避系统性风险；个股精选策略主要用于挖掘股票市场中与碳中和主题相关的优质上市公司。本基金的投资策略包括：资产配置策略、个股精选策略、债券投资策略、资产支持证券投资策略、股指期货投资策略、股票期权投资策略、融资投资策略、国债期货投资策略、可转债及可交换债投资策略等。</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中证内地低碳经济主题指数收益率*70%+中债综合指数收益率*30%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本基金为混合型基金，其预期风险收益水平低于股票型基金，高于债券型基金及货币市场基金。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本基金还可投资港股通标的股票，将面临港股通机制下因投资环境、投资标的、市场制度以及交易规则等差异带来的特有风险。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20197081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095969"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 C 类基金份额不收取申购费用。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0.6%</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90000.00元/年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和仲裁费；基金份额持有人大会费用；基金的证券/期货等交易费用；基金的银行汇划费用；基金的开户费用、账户维护费用；因投资港股通标的股票而产生的各项合理费用，包括证券组合费、交易征费、股份交收费、交易系统使用费、交易费等；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2.01%</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的风险包括：市场风险、管理风险、流动性风险、特有风险、税负增加风险、操作或技术风险、合规性风险、本基金法律文件风险收益特征表述与销售机构基金风险评价可能不一致的风险以及其他风险。其中特有风险包括：1、股指期货投资风险；2、股票期权投资风险；3、国债期货投资风险；4、参与融资交易风险；5、投资港股通标的股票的风险；6、资产支持证券投资风险；7、流通受限证券投资风险；8、存托凭证投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