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汇添富稳健睿享一年持有期混合型证券投资基金C类份额更新基金产品资料概要(2024年06月07日更新)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012460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詹杰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2023年04月06日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2011年04月18日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基金在合理控制风险的基础上，通过积极主动的管理，追求基金资产的长期稳健增值。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存托凭证及其他经中国证监会允许上市的股票）、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基金的投资组合比例为：股票资产占基金资产的比例为0-40%（其中投资于港股通标的股票的比例不超过股票资产的 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有效控制风险的前提下，采用科学的资产配置策略和“自下而上”的精选个券策略，定量与定性分析相结合，以绝对收益为目标，力争实现基金资产的长期稳定回报。本基金的主要投资策略包括：资产配置策略、债券投资策略、股票投资策略、资产支持证券投资策略、国债期货投资策略、股指期货投资策略、股票期权投资策略、融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中债综合指数收益率×80%+沪深300指数收益率×15%+恒生指数收益率（经汇率调整）×5%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197281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83735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和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1.28%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（1）本基金可投资股指期货、股票期权、国债期货、资产支持证券、流通受限证券，并可参与融资交易，因此本基金将面临投资上述投资标的的风险。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（2）本基金可以投资港股通标的股票，投资风险包括：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将通过“港股通”投资于香港市场，在市场环境、市场进入、投资额度、可投资对象、税务政策、市场制度等方面都有一定的限制，而且此类限制可能会不断调整，这些限制因素的变化可能对本基金进入或退出当地市场造成障碍，从而对投资收益以及正常的申购赎回产生直接或间接的影响。</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2）香港市场交易规则有别于内地A股市场规则，此外，在港股通下参与香港股票投资还将面临包括但不限于如下特殊风险：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①香港市场实行T+0回转交易，且证券交易价格并无涨跌幅上下限的规定，因此每日涨跌幅空间相对较大，港股股价可能表现出比A股更为剧烈的股价波动；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②只有内地和香港两地均为交易日且能够满足结算安排的交易日才为港股通交易日，在内地开市香港休市的情形下，港股通不能正常交易，港股不能及时卖出，可能带来流动性风险；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③香港出现台风、黑色暴雨或者联交所规定的其他情形时，联交所将可能停市，投资者将面临在停市期间无法进行港股通交易的风险；出现境内证券交易服务公司认定的交易异常情况时，境内证券交易服务公司将可能暂且提供部分或者全部港股通服务，投资者将面临在暂停服务期间无法进行港股通交易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④投资者因港股通股票权益分派、转换、上市公司被收购等情形或者异常情况，所取得的港股通股票以外的联交所上市证券，只能通过港股通卖出，但不得买入，证券交易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⑤代理投票。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⑥汇率风险。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⑦本基金可根据投资策略需要或不同配置地市场环境的变化，选择将部分基金资产投资于港股或选择不将基金资产投资于港股，基金资产并非必然投资港股。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⑧港股通额度限制。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存托凭证，除普通股票投资可能面临的宏观经济风险、政策风险、市场风险、流动性风险外，可能还会面临以下风险：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